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spacing w:line="360" w:lineRule="auto"/>
        <w:rPr>
          <w:rStyle w:val="80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39"/>
        <w:spacing w:line="360" w:lineRule="auto"/>
        <w:rPr>
          <w:rStyle w:val="809"/>
          <w:rFonts w:hint="eastAsia" w:ascii="宋体" w:hAnsi="宋体" w:eastAsia="宋体" w:cs="宋体"/>
          <w:color w:val="auto"/>
          <w:sz w:val="72"/>
          <w:szCs w:val="72"/>
          <w:highlight w:val="none"/>
        </w:rPr>
      </w:pPr>
      <w:r>
        <w:rPr>
          <w:rStyle w:val="809"/>
          <w:rFonts w:hint="eastAsia" w:ascii="宋体" w:hAnsi="宋体" w:eastAsia="宋体" w:cs="宋体"/>
          <w:color w:val="auto"/>
          <w:sz w:val="72"/>
          <w:szCs w:val="72"/>
          <w:highlight w:val="none"/>
        </w:rPr>
        <w:t xml:space="preserve">苏州</w:t>
      </w:r>
      <w:r>
        <w:rPr>
          <w:rStyle w:val="809"/>
          <w:rFonts w:hint="eastAsia" w:ascii="宋体" w:hAnsi="宋体" w:eastAsia="宋体" w:cs="宋体"/>
          <w:color w:val="auto"/>
          <w:sz w:val="72"/>
          <w:szCs w:val="72"/>
          <w:highlight w:val="none"/>
          <w:lang w:val="en-US"/>
        </w:rPr>
        <w:t xml:space="preserve">高新</w:t>
      </w:r>
      <w:r>
        <w:rPr>
          <w:rStyle w:val="809"/>
          <w:rFonts w:hint="eastAsia" w:ascii="宋体" w:hAnsi="宋体" w:eastAsia="宋体" w:cs="宋体"/>
          <w:color w:val="auto"/>
          <w:sz w:val="72"/>
          <w:szCs w:val="72"/>
          <w:highlight w:val="none"/>
        </w:rPr>
        <w:t xml:space="preserve">区政府采购</w:t>
      </w:r>
      <w:r/>
    </w:p>
    <w:p>
      <w:pPr>
        <w:pStyle w:val="839"/>
        <w:spacing w:line="360" w:lineRule="auto"/>
        <w:rPr>
          <w:rStyle w:val="809"/>
          <w:rFonts w:hint="eastAsia" w:ascii="宋体" w:hAnsi="宋体" w:eastAsia="宋体" w:cs="宋体"/>
          <w:color w:val="auto"/>
          <w:sz w:val="72"/>
          <w:szCs w:val="72"/>
          <w:highlight w:val="none"/>
        </w:rPr>
      </w:pPr>
      <w:r>
        <w:rPr>
          <w:rStyle w:val="809"/>
          <w:rFonts w:hint="eastAsia" w:ascii="宋体" w:hAnsi="宋体" w:eastAsia="宋体" w:cs="宋体"/>
          <w:color w:val="auto"/>
          <w:sz w:val="72"/>
          <w:szCs w:val="72"/>
          <w:highlight w:val="none"/>
        </w:rPr>
        <w:t xml:space="preserve">竞争性磋商采购文件</w:t>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087"/>
      </w:tblGrid>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cs="宋体"/>
                <w:b/>
                <w:color w:val="auto"/>
                <w:sz w:val="32"/>
                <w:highlight w:val="none"/>
                <w:lang w:eastAsia="zh-CN"/>
              </w:rPr>
              <w:t xml:space="preserve">JSZC-320505-HXGW-C2025-0079</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通安镇金墅老街环境整治</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采购单位：</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苏州高新区（虎丘区）通安镇人民政府</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小额工程</w:t>
            </w:r>
            <w:r/>
          </w:p>
        </w:tc>
      </w:tr>
    </w:tbl>
    <w:p>
      <w:pPr>
        <w:pStyle w:val="839"/>
        <w:rPr>
          <w:rStyle w:val="80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39"/>
        <w:ind w:firstLine="1355"/>
        <w:jc w:val="left"/>
        <w:spacing w:line="360" w:lineRule="auto"/>
        <w:rPr>
          <w:rStyle w:val="809"/>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9"/>
        <w:spacing w:line="360" w:lineRule="auto"/>
        <w:rPr>
          <w:rStyle w:val="809"/>
          <w:rFonts w:hint="eastAsia" w:ascii="宋体" w:hAnsi="宋体" w:eastAsia="宋体" w:cs="宋体"/>
          <w:color w:val="auto"/>
          <w:sz w:val="30"/>
          <w:szCs w:val="30"/>
          <w:highlight w:val="none"/>
        </w:rPr>
      </w:pPr>
      <w:r>
        <w:rPr>
          <w:rStyle w:val="809"/>
          <w:rFonts w:hint="eastAsia" w:ascii="宋体" w:hAnsi="宋体" w:eastAsia="宋体" w:cs="宋体"/>
          <w:color w:val="auto"/>
          <w:sz w:val="30"/>
          <w:szCs w:val="30"/>
          <w:highlight w:val="none"/>
        </w:rPr>
        <w:t xml:space="preserve">涵熙（苏州）工程顾问有限公司</w:t>
      </w:r>
      <w:r/>
    </w:p>
    <w:p>
      <w:pPr>
        <w:pStyle w:val="839"/>
        <w:rPr>
          <w:rStyle w:val="809"/>
          <w:rFonts w:hint="eastAsia" w:ascii="宋体" w:hAnsi="宋体" w:eastAsia="宋体" w:cs="宋体"/>
          <w:color w:val="auto"/>
          <w:highlight w:val="none"/>
        </w:rPr>
      </w:pPr>
      <w:r>
        <w:rPr>
          <w:rStyle w:val="809"/>
          <w:rFonts w:hint="eastAsia" w:ascii="宋体" w:hAnsi="宋体" w:eastAsia="宋体" w:cs="宋体"/>
          <w:color w:val="auto"/>
          <w:sz w:val="30"/>
          <w:szCs w:val="30"/>
          <w:highlight w:val="none"/>
        </w:rPr>
        <w:t xml:space="preserve">二〇二五年</w:t>
      </w:r>
      <w:r>
        <w:rPr>
          <w:rStyle w:val="809"/>
          <w:rFonts w:hint="eastAsia" w:ascii="宋体" w:hAnsi="宋体" w:cs="宋体"/>
          <w:color w:val="auto"/>
          <w:sz w:val="30"/>
          <w:szCs w:val="30"/>
          <w:highlight w:val="none"/>
          <w:lang w:val="en-US"/>
        </w:rPr>
        <w:t xml:space="preserve">十二</w:t>
      </w:r>
      <w:r>
        <w:rPr>
          <w:rStyle w:val="809"/>
          <w:rFonts w:hint="eastAsia" w:ascii="宋体" w:hAnsi="宋体" w:eastAsia="宋体" w:cs="宋体"/>
          <w:color w:val="auto"/>
          <w:sz w:val="30"/>
          <w:szCs w:val="30"/>
          <w:highlight w:val="none"/>
        </w:rPr>
        <w:t xml:space="preserve">月</w:t>
      </w:r>
      <w:r/>
    </w:p>
    <w:p>
      <w:pPr>
        <w:jc w:val="center"/>
        <w:spacing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sectPr>
          <w:footnotePr/>
          <w:endnotePr/>
          <w:type w:val="nextPage"/>
          <w:pgSz w:w="11906" w:h="16838" w:orient="portrait"/>
          <w:pgMar w:top="1043" w:right="1077" w:bottom="1043" w:left="1157" w:header="851" w:footer="992" w:gutter="0"/>
          <w:pgNumType w:start="0"/>
          <w:cols w:num="1" w:sep="0" w:space="720" w:equalWidth="1"/>
          <w:docGrid w:linePitch="360"/>
          <w:titlePg/>
        </w:sectPr>
      </w:pPr>
      <w:r>
        <w:rPr>
          <w:rFonts w:hint="eastAsia" w:ascii="宋体" w:hAnsi="宋体" w:eastAsia="宋体" w:cs="宋体"/>
          <w:b/>
          <w:color w:val="auto"/>
          <w:sz w:val="52"/>
          <w:szCs w:val="52"/>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44"/>
          <w:szCs w:val="44"/>
          <w:highlight w:val="none"/>
        </w:rPr>
        <w:t xml:space="preserve">目    录</w:t>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Style w:val="809"/>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"_Toc27257"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_Toc27257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"_Toc23510"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_Toc23510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"_Toc31428"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第三章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"_Toc31428"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cs="宋体"/>
          <w:bCs/>
          <w:color w:val="auto"/>
          <w:sz w:val="28"/>
          <w:szCs w:val="28"/>
          <w:highlight w:val="none"/>
          <w:lang w:val="en-US"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cs="宋体"/>
          <w:bCs/>
          <w:color w:val="auto"/>
          <w:sz w:val="28"/>
          <w:szCs w:val="28"/>
          <w:highlight w:val="none"/>
          <w:lang w:val="en-US" w:eastAsia="zh-CN"/>
        </w:rPr>
        <w:t xml:space="preserve">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_Toc31428 \h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"_Toc11037"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_Toc11037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699"/>
        <w:spacing w:line="480" w:lineRule="auto"/>
        <w:tabs>
          <w:tab w:val="right" w:pos="936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第六章 评审办法及评分标准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839"/>
        <w:jc w:val="both"/>
        <w:spacing w:line="480" w:lineRule="auto"/>
        <w:rPr>
          <w:rFonts w:hint="eastAsia" w:ascii="宋体" w:hAnsi="宋体" w:eastAsia="宋体" w:cs="宋体"/>
          <w:color w:val="auto"/>
          <w:sz w:val="30"/>
          <w:szCs w:val="30"/>
          <w:highlight w:val="none"/>
        </w:rPr>
      </w:pPr>
      <w:r>
        <w:rPr>
          <w:rFonts w:hint="eastAsia" w:ascii="宋体" w:hAnsi="宋体" w:eastAsia="宋体" w:cs="宋体"/>
          <w:bCs/>
          <w:color w:val="auto"/>
          <w:sz w:val="28"/>
          <w:szCs w:val="28"/>
          <w:highlight w:val="none"/>
        </w:rPr>
        <w:fldChar w:fldCharType="end"/>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bookmarkStart w:id="0" w:name="_Toc19501"/>
      <w:r/>
      <w:bookmarkStart w:id="1" w:name="_Toc30314"/>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outlineLvl w:val="0"/>
      </w:pPr>
      <w:r/>
      <w:bookmarkStart w:id="2" w:name="_Toc27257"/>
      <w:r>
        <w:rPr>
          <w:rFonts w:hint="eastAsia" w:ascii="宋体" w:hAnsi="宋体" w:eastAsia="宋体" w:cs="宋体"/>
          <w:b/>
          <w:bCs/>
          <w:color w:val="auto"/>
          <w:sz w:val="52"/>
          <w:szCs w:val="52"/>
          <w:highlight w:val="none"/>
        </w:rPr>
        <w:t xml:space="preserve">第一章 磋商邀请函</w:t>
      </w:r>
      <w:bookmarkEnd w:id="0"/>
      <w:r/>
      <w:bookmarkEnd w:id="1"/>
      <w:r/>
      <w:bookmarkEnd w:id="2"/>
      <w:r/>
      <w:r/>
    </w:p>
    <w:p>
      <w:pPr>
        <w:rPr>
          <w:rFonts w:hint="eastAsia" w:ascii="宋体" w:hAnsi="宋体" w:eastAsia="宋体" w:cs="宋体"/>
          <w:color w:val="auto"/>
          <w:sz w:val="24"/>
          <w:szCs w:val="24"/>
          <w:highlight w:val="none"/>
        </w:rPr>
      </w:pPr>
      <w:r>
        <w:rPr>
          <w:rFonts w:hint="eastAsia" w:ascii="宋体" w:hAnsi="宋体" w:eastAsia="宋体" w:cs="宋体"/>
          <w:color w:val="auto"/>
          <w:sz w:val="52"/>
          <w:highlight w:val="none"/>
        </w:rPr>
        <w:br w:type="page" w:clear="all"/>
      </w:r>
      <w:r/>
    </w:p>
    <w:p>
      <w:pPr>
        <w:ind w:firstLine="480"/>
        <w:spacing w:line="360" w:lineRule="auto"/>
        <w:rPr>
          <w:rFonts w:hint="eastAsia" w:ascii="宋体" w:hAnsi="宋体" w:eastAsia="宋体" w:cs="宋体"/>
          <w:color w:val="auto"/>
          <w:sz w:val="24"/>
          <w:szCs w:val="24"/>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val="en-US" w:eastAsia="zh-CN"/>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通安镇金墅老街环境整治</w:t>
      </w:r>
      <w:r>
        <w:rPr>
          <w:rFonts w:hint="eastAsia" w:ascii="宋体" w:hAnsi="宋体" w:cs="宋体"/>
          <w:color w:val="auto"/>
          <w:sz w:val="24"/>
          <w:szCs w:val="24"/>
          <w:highlight w:val="none"/>
          <w:lang w:eastAsia="zh-CN"/>
        </w:rPr>
        <w:t xml:space="preserve">JSZC-320505-HXGW-C2025-0079</w:t>
      </w:r>
      <w:r>
        <w:rPr>
          <w:rFonts w:hint="eastAsia" w:ascii="宋体" w:hAnsi="宋体" w:eastAsia="宋体" w:cs="宋体"/>
          <w:color w:val="auto"/>
          <w:sz w:val="24"/>
          <w:szCs w:val="24"/>
          <w:highlight w:val="none"/>
        </w:rPr>
        <w:t xml:space="preserve">采购项目的潜在供应商应在江苏省政府采购一体化平台“苏采云”系统</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采购文件，并于202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  09：30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bookmarkStart w:id="3" w:name="_Toc28359002"/>
      <w:r/>
      <w:bookmarkStart w:id="4" w:name="_Toc35393621"/>
      <w:r/>
      <w:bookmarkStart w:id="5" w:name="_Toc35393790"/>
      <w:r/>
      <w:bookmarkStart w:id="6" w:name="_Hlk24379207"/>
      <w:r/>
      <w:bookmarkStart w:id="7" w:name="_Toc28359079"/>
      <w:r>
        <w:rPr>
          <w:rFonts w:hint="eastAsia" w:ascii="宋体" w:hAnsi="宋体" w:eastAsia="宋体" w:cs="宋体"/>
          <w:b/>
          <w:color w:val="auto"/>
          <w:sz w:val="24"/>
          <w:szCs w:val="24"/>
          <w:highlight w:val="none"/>
        </w:rPr>
        <w:t xml:space="preserve">一、项目基本情况</w:t>
      </w:r>
      <w:bookmarkEnd w:id="3"/>
      <w:r/>
      <w:bookmarkEnd w:id="4"/>
      <w:r/>
      <w:bookmarkEnd w:id="5"/>
      <w:r/>
      <w:bookmarkEnd w:id="6"/>
      <w:r/>
      <w:bookmarkEnd w:id="7"/>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JSZC-320505-HXGW-C2025-0079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通安镇金墅老街环境整治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296.284342</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采购需求：具体内容详见采购文件。</w:t>
      </w:r>
      <w:r/>
    </w:p>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eastAsia="宋体" w:cs="宋体"/>
          <w:color w:val="auto"/>
          <w:sz w:val="24"/>
          <w:highlight w:val="none"/>
        </w:rPr>
        <w:t xml:space="preserve">本工程为苏州高新区（虎丘区）通安镇人民政府的</w:t>
      </w:r>
      <w:r>
        <w:rPr>
          <w:rFonts w:hint="eastAsia" w:ascii="宋体" w:hAnsi="宋体" w:eastAsia="宋体" w:cs="宋体"/>
          <w:color w:val="auto"/>
          <w:sz w:val="24"/>
          <w:highlight w:val="none"/>
          <w:lang w:eastAsia="zh-CN"/>
        </w:rPr>
        <w:t xml:space="preserve">通安镇金墅老街环境整治</w:t>
      </w:r>
      <w:r>
        <w:rPr>
          <w:rFonts w:hint="eastAsia" w:ascii="宋体" w:hAnsi="宋体" w:eastAsia="宋体" w:cs="宋体"/>
          <w:color w:val="auto"/>
          <w:sz w:val="24"/>
          <w:highlight w:val="none"/>
        </w:rPr>
        <w:t xml:space="preserve">。项目位于</w:t>
      </w:r>
      <w:r>
        <w:rPr>
          <w:rFonts w:hint="eastAsia" w:ascii="宋体" w:hAnsi="宋体" w:eastAsia="宋体" w:cs="宋体"/>
          <w:color w:val="auto"/>
          <w:sz w:val="24"/>
          <w:highlight w:val="none"/>
          <w:lang w:val="en-US" w:eastAsia="zh-CN"/>
        </w:rPr>
        <w:t xml:space="preserve">苏州市虎丘区通安镇</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包括园路铺装翻新、景观小品及成品设施安置、栽植绿化、场地平整硬化、沥青道路翻新、污水管网整治及零星拆除</w:t>
      </w:r>
      <w:r>
        <w:rPr>
          <w:rFonts w:hint="eastAsia" w:ascii="宋体" w:hAnsi="宋体" w:eastAsia="宋体" w:cs="宋体"/>
          <w:color w:val="auto"/>
          <w:sz w:val="24"/>
          <w:highlight w:val="none"/>
          <w:lang w:val="en-US" w:eastAsia="zh-CN"/>
        </w:rPr>
        <w:t xml:space="preserve">等内容</w:t>
      </w:r>
      <w:r>
        <w:rPr>
          <w:rFonts w:hint="eastAsia" w:ascii="宋体" w:hAnsi="宋体" w:eastAsia="宋体" w:cs="宋体"/>
          <w:color w:val="auto"/>
          <w:sz w:val="24"/>
          <w:highlight w:val="none"/>
        </w:rPr>
        <w:t xml:space="preserve">。</w:t>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4个月，具体开工日期以采购人通知为准。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本项目（是/否）接受联合体：否</w:t>
      </w:r>
      <w:r/>
    </w:p>
    <w:p>
      <w:pPr>
        <w:ind w:firstLine="482"/>
        <w:spacing w:line="360" w:lineRule="auto"/>
        <w:rPr>
          <w:rFonts w:hint="eastAsia" w:ascii="宋体" w:hAnsi="宋体" w:eastAsia="宋体" w:cs="宋体"/>
          <w:b/>
          <w:color w:val="auto"/>
          <w:sz w:val="24"/>
          <w:szCs w:val="24"/>
          <w:highlight w:val="none"/>
        </w:rPr>
      </w:pPr>
      <w:r/>
      <w:bookmarkStart w:id="8" w:name="_Toc28359090"/>
      <w:r/>
      <w:bookmarkStart w:id="9" w:name="_Toc35393630"/>
      <w:r/>
      <w:bookmarkStart w:id="10" w:name="_Toc28359013"/>
      <w:r/>
      <w:bookmarkStart w:id="11" w:name="_Toc35393799"/>
      <w:r>
        <w:rPr>
          <w:rFonts w:hint="eastAsia" w:ascii="宋体" w:hAnsi="宋体" w:eastAsia="宋体" w:cs="宋体"/>
          <w:b/>
          <w:color w:val="auto"/>
          <w:sz w:val="24"/>
          <w:szCs w:val="24"/>
          <w:highlight w:val="none"/>
        </w:rPr>
        <w:t xml:space="preserve">二、申请人的资格要求：</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2"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2"/>
      <w:r/>
      <w:bookmarkStart w:id="13" w:name="_Toc28359091"/>
      <w:r/>
      <w:bookmarkStart w:id="14" w:name="_Toc28359014"/>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bookmarkStart w:id="15" w:name="_Toc35393800"/>
      <w:r/>
      <w:bookmarkStart w:id="16" w:name="_Toc35393631"/>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1.根据《政府采购促进中小企业发展管理办法》的相关规定，本项目专门面向中小企业采购，</w:t>
      </w:r>
      <w:r>
        <w:rPr>
          <w:rFonts w:hint="eastAsia" w:ascii="宋体" w:hAnsi="宋体" w:eastAsia="宋体" w:cs="宋体"/>
          <w:b/>
          <w:bCs/>
          <w:color w:val="auto"/>
          <w:sz w:val="24"/>
          <w:szCs w:val="24"/>
          <w:highlight w:val="none"/>
        </w:rPr>
        <w:t xml:space="preserve">所属行业为建筑业，</w:t>
      </w:r>
      <w:r>
        <w:rPr>
          <w:rFonts w:hint="eastAsia" w:ascii="宋体" w:hAnsi="宋体" w:eastAsia="宋体" w:cs="宋体"/>
          <w:color w:val="auto"/>
          <w:sz w:val="24"/>
          <w:szCs w:val="24"/>
          <w:highlight w:val="none"/>
        </w:rPr>
        <w:t xml:space="preserve">供应商应为中小微企业、监狱企业、残疾人福利性单位，并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1.具有有效的市政公用工程施工总承包三级及以上资质，具备安全生产条件，并取得有效期内的安全生产许可证；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2.拟选派项目负责人资质等级：市政公用工程专业二级及以上建造师和《建筑施工企业项目负责人安全生产考核合格证书》（B证），且必须满足下列条件：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（1）项目负责人不得同时在两个或者两个以上单位受聘或者执业（同时在两个及以上单位签订劳动合同或交纳社会保险或将本人执（职）业资格证书同时注册在两个及以上单位）。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3.未被“信用中国”网站列入失信被执行人、重大税收违法案件当事人名单、政府采购严重失信行为记录名单。</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7" w:name="OLE_LINK11"/>
      <w:r>
        <w:rPr>
          <w:rFonts w:hint="eastAsia" w:ascii="宋体" w:hAnsi="宋体" w:eastAsia="宋体" w:cs="宋体"/>
          <w:color w:val="auto"/>
          <w:sz w:val="24"/>
          <w:szCs w:val="24"/>
          <w:highlight w:val="none"/>
        </w:rPr>
        <w:t xml:space="preserve">江苏省政府采购一体化平台“苏采云”系统</w:t>
      </w:r>
      <w:bookmarkEnd w:id="17"/>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方式：“苏采云”系统线上获取</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  09：30（北京时间）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地点：江苏省政府采购一体化平台“苏采云”系统</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09</w:t>
      </w:r>
      <w:bookmarkStart w:id="54" w:name="_GoBack"/>
      <w:r/>
      <w:bookmarkEnd w:id="54"/>
      <w:r>
        <w:rPr>
          <w:rFonts w:hint="eastAsia" w:ascii="宋体" w:hAnsi="宋体" w:eastAsia="宋体" w:cs="宋体"/>
          <w:color w:val="auto"/>
          <w:sz w:val="24"/>
          <w:szCs w:val="24"/>
          <w:highlight w:val="none"/>
        </w:rPr>
        <w:t xml:space="preserve">  09：30（北京时间）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End w:id="13"/>
      <w:r/>
      <w:bookmarkEnd w:id="14"/>
      <w:r/>
      <w:bookmarkEnd w:id="15"/>
      <w:r/>
      <w:bookmarkEnd w:id="16"/>
      <w:r>
        <w:rPr>
          <w:rFonts w:hint="eastAsia" w:ascii="宋体" w:hAnsi="宋体" w:eastAsia="宋体" w:cs="宋体"/>
          <w:color w:val="auto"/>
          <w:sz w:val="24"/>
          <w:szCs w:val="24"/>
          <w:highlight w:val="none"/>
        </w:rPr>
        <w:t xml:space="preserve">苏州市市辖区【狮山科技馆】不见面开标室（虚拟开标室）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eastAsia="宋体" w:cs="宋体"/>
          <w:b/>
          <w:color w:val="auto"/>
          <w:sz w:val="24"/>
          <w:szCs w:val="24"/>
          <w:highlight w:val="none"/>
        </w:rPr>
      </w:pPr>
      <w:r/>
      <w:bookmarkStart w:id="18" w:name="_Toc35393635"/>
      <w:r/>
      <w:bookmarkStart w:id="19" w:name="_Toc35393804"/>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8"/>
      <w:r/>
      <w:bookmarkEnd w:id="19"/>
      <w:r/>
      <w:r/>
    </w:p>
    <w:p>
      <w:pPr>
        <w:ind w:firstLine="480"/>
        <w:spacing w:line="360" w:lineRule="auto"/>
        <w:rPr>
          <w:rFonts w:hint="eastAsia" w:ascii="宋体" w:hAnsi="宋体" w:eastAsia="宋体" w:cs="宋体"/>
          <w:color w:val="auto"/>
          <w:sz w:val="24"/>
          <w:szCs w:val="24"/>
          <w:highlight w:val="none"/>
        </w:rPr>
      </w:pPr>
      <w:r/>
      <w:bookmarkStart w:id="20" w:name="_Toc28359095"/>
      <w:r/>
      <w:bookmarkStart w:id="21" w:name="_Toc28359018"/>
      <w:r/>
      <w:bookmarkStart w:id="22" w:name="_Toc35393805"/>
      <w:r/>
      <w:bookmarkStart w:id="23" w:name="_Toc35393636"/>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w:t>
      </w:r>
      <w:r>
        <w:rPr>
          <w:rFonts w:hint="eastAsia" w:ascii="宋体" w:hAnsi="宋体" w:eastAsia="宋体" w:cs="宋体"/>
          <w:color w:val="auto"/>
          <w:sz w:val="24"/>
          <w:szCs w:val="24"/>
          <w:highlight w:val="none"/>
        </w:rPr>
        <w:t xml:space="preserve">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4"/>
          <w:highlight w:val="none"/>
          <w:lang w:val="en-US" w:eastAsia="zh-CN"/>
        </w:rPr>
        <w:t xml:space="preserve">苏州市高新区邓尉路105号狮山科技馆</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楼服务大厅</w:t>
      </w:r>
      <w:r>
        <w:rPr>
          <w:rFonts w:hint="eastAsia" w:ascii="宋体" w:hAnsi="宋体" w:eastAsia="宋体" w:cs="宋体"/>
          <w:color w:val="auto"/>
          <w:sz w:val="24"/>
          <w:szCs w:val="24"/>
          <w:highlight w:val="none"/>
        </w:rPr>
        <w:t xml:space="preserve">，咨询电话：0512-</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5727699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电子签章技术咨询服务电话：15380932027、15371015030、13675197356、13675197221；</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w:t>
      </w:r>
      <w:bookmarkStart w:id="24" w:name="_Hlk157939100"/>
      <w:r/>
      <w:bookmarkStart w:id="25" w:name="_Hlk155717243"/>
      <w:r>
        <w:rPr>
          <w:rFonts w:hint="eastAsia" w:ascii="宋体" w:hAnsi="宋体" w:eastAsia="宋体" w:cs="宋体"/>
          <w:color w:val="auto"/>
          <w:sz w:val="24"/>
          <w:szCs w:val="24"/>
          <w:highlight w:val="none"/>
        </w:rPr>
        <w:t xml:space="preserve">0519-86722802、13914088964、18261002950</w:t>
      </w:r>
      <w:bookmarkEnd w:id="24"/>
      <w:r/>
      <w:bookmarkEnd w:id="25"/>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shd w:val="clear" w:color="auto" w:fill="ffffff"/>
          <w:lang w:bidi="ar"/>
        </w:rPr>
        <w:t xml:space="preserve">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shd w:val="clear" w:color="auto" w:fill="ffffff"/>
          <w:lang w:bidi="ar"/>
        </w:rPr>
        <w:t xml:space="preserve">如不同投标（响应）文件制作机器码一致，则投标（响应）无效。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13、苏州</w:t>
      </w:r>
      <w:r>
        <w:rPr>
          <w:rFonts w:hint="eastAsia" w:ascii="宋体" w:hAnsi="宋体" w:cs="宋体"/>
          <w:color w:val="auto"/>
          <w:sz w:val="24"/>
          <w:szCs w:val="24"/>
          <w:highlight w:val="none"/>
          <w:lang w:val="en-US" w:eastAsia="zh-CN"/>
        </w:rPr>
        <w:t xml:space="preserve">高新区</w:t>
      </w:r>
      <w:r>
        <w:rPr>
          <w:rFonts w:hint="eastAsia" w:ascii="宋体" w:hAnsi="宋体" w:eastAsia="宋体" w:cs="宋体"/>
          <w:color w:val="auto"/>
          <w:sz w:val="24"/>
          <w:szCs w:val="24"/>
          <w:highlight w:val="none"/>
        </w:rPr>
        <w:t xml:space="preserve">政府采购监督电话：0512-6</w:t>
      </w:r>
      <w:r>
        <w:rPr>
          <w:rFonts w:hint="eastAsia" w:ascii="宋体" w:hAnsi="宋体" w:cs="宋体"/>
          <w:color w:val="auto"/>
          <w:sz w:val="24"/>
          <w:szCs w:val="24"/>
          <w:highlight w:val="none"/>
          <w:lang w:val="en-US" w:eastAsia="zh-CN"/>
        </w:rPr>
        <w:t xml:space="preserve">8751331</w:t>
      </w:r>
      <w:r>
        <w:rPr>
          <w:rFonts w:hint="eastAsia" w:ascii="宋体" w:hAnsi="宋体" w:eastAsia="宋体" w:cs="宋体"/>
          <w:color w:val="auto"/>
          <w:sz w:val="24"/>
          <w:szCs w:val="24"/>
          <w:highlight w:val="none"/>
        </w:rPr>
        <w:t xml:space="preserve">、0512-6</w:t>
      </w:r>
      <w:r>
        <w:rPr>
          <w:rFonts w:hint="eastAsia" w:ascii="宋体" w:hAnsi="宋体" w:cs="宋体"/>
          <w:color w:val="auto"/>
          <w:sz w:val="24"/>
          <w:szCs w:val="24"/>
          <w:highlight w:val="none"/>
          <w:lang w:val="en-US" w:eastAsia="zh-CN"/>
        </w:rPr>
        <w:t xml:space="preserve">8751335</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20"/>
      <w:r/>
      <w:bookmarkEnd w:id="21"/>
      <w:r/>
      <w:bookmarkEnd w:id="22"/>
      <w:r/>
      <w:bookmarkEnd w:id="23"/>
      <w:r/>
      <w:r/>
    </w:p>
    <w:p>
      <w:pPr>
        <w:ind w:firstLine="480"/>
        <w:spacing w:line="360" w:lineRule="auto"/>
        <w:rPr>
          <w:rFonts w:hint="eastAsia" w:ascii="宋体" w:hAnsi="宋体" w:eastAsia="宋体" w:cs="宋体"/>
          <w:color w:val="auto"/>
          <w:sz w:val="24"/>
          <w:szCs w:val="24"/>
          <w:highlight w:val="none"/>
        </w:rPr>
      </w:pPr>
      <w:r/>
      <w:bookmarkStart w:id="26" w:name="_Toc35393806"/>
      <w:r/>
      <w:bookmarkStart w:id="27" w:name="_Toc28359096"/>
      <w:r/>
      <w:bookmarkStart w:id="28" w:name="_Toc35393637"/>
      <w:r/>
      <w:bookmarkStart w:id="29" w:name="_Toc28359019"/>
      <w:r>
        <w:rPr>
          <w:rFonts w:hint="eastAsia" w:ascii="宋体" w:hAnsi="宋体" w:eastAsia="宋体" w:cs="宋体"/>
          <w:color w:val="auto"/>
          <w:sz w:val="24"/>
          <w:szCs w:val="24"/>
          <w:highlight w:val="none"/>
        </w:rPr>
        <w:t xml:space="preserve">1.采购人信息</w:t>
      </w:r>
      <w:bookmarkEnd w:id="26"/>
      <w:r/>
      <w:bookmarkEnd w:id="27"/>
      <w:r/>
      <w:bookmarkEnd w:id="28"/>
      <w:r/>
      <w:bookmarkEnd w:id="29"/>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苏州高新区（虎丘区）通安镇人民政府</w:t>
      </w:r>
      <w:r/>
    </w:p>
    <w:p>
      <w:pPr>
        <w:ind w:firstLine="480"/>
        <w:spacing w:line="360" w:lineRule="auto"/>
        <w:rPr>
          <w:rFonts w:hint="eastAsia" w:ascii="宋体" w:hAnsi="宋体" w:eastAsia="宋体" w:cs="宋体"/>
          <w:color w:val="auto"/>
          <w:sz w:val="24"/>
          <w:szCs w:val="24"/>
          <w:highlight w:val="none"/>
          <w:lang w:eastAsia="zh-CN"/>
        </w:rPr>
      </w:pPr>
      <w:r/>
      <w:bookmarkStart w:id="30" w:name="_Toc35393638"/>
      <w:r/>
      <w:bookmarkStart w:id="31" w:name="_Toc35393807"/>
      <w:r/>
      <w:bookmarkStart w:id="32" w:name="_Toc28359097"/>
      <w:r/>
      <w:bookmarkStart w:id="33" w:name="_Toc28359020"/>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苏州高新区通安镇通浒路88号</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联系人：丁月梅</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联系电话：0512-66891849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0"/>
      <w:r/>
      <w:bookmarkEnd w:id="31"/>
      <w:r/>
      <w:bookmarkEnd w:id="32"/>
      <w:r/>
      <w:bookmarkEnd w:id="33"/>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名称：涵熙（苏州）工程顾问有限公司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地址：苏州高新区汾湖路99号狮山总部经济中心7幢3层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邵赞瑜</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联系电话：0512-69589240</w:t>
      </w:r>
      <w:r/>
    </w:p>
    <w:p>
      <w:pPr>
        <w:ind w:firstLine="480"/>
        <w:spacing w:line="360" w:lineRule="auto"/>
        <w:rPr>
          <w:rFonts w:hint="eastAsia" w:ascii="宋体" w:hAnsi="宋体" w:eastAsia="宋体" w:cs="宋体"/>
          <w:color w:val="auto"/>
          <w:sz w:val="24"/>
          <w:szCs w:val="24"/>
          <w:highlight w:val="none"/>
        </w:rPr>
      </w:pPr>
      <w:r/>
      <w:bookmarkStart w:id="34" w:name="_Toc28359098"/>
      <w:r/>
      <w:bookmarkStart w:id="35" w:name="_Toc35393808"/>
      <w:r/>
      <w:bookmarkStart w:id="36" w:name="_Toc28359021"/>
      <w:r/>
      <w:bookmarkStart w:id="37" w:name="_Toc35393639"/>
      <w:r>
        <w:rPr>
          <w:rFonts w:hint="eastAsia" w:ascii="宋体" w:hAnsi="宋体" w:eastAsia="宋体" w:cs="宋体"/>
          <w:color w:val="auto"/>
          <w:sz w:val="24"/>
          <w:szCs w:val="24"/>
          <w:highlight w:val="none"/>
        </w:rPr>
        <w:t xml:space="preserve">3.项目联系方式</w:t>
      </w:r>
      <w:bookmarkEnd w:id="34"/>
      <w:r/>
      <w:bookmarkEnd w:id="35"/>
      <w:r/>
      <w:bookmarkEnd w:id="36"/>
      <w:r/>
      <w:bookmarkEnd w:id="37"/>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邵赞瑜</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电话：0512-69589240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09"/>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Fonts w:hint="eastAsia" w:ascii="宋体" w:hAnsi="宋体" w:eastAsia="宋体" w:cs="宋体"/>
          <w:color w:val="auto"/>
          <w:sz w:val="52"/>
          <w:szCs w:val="52"/>
          <w:highlight w:val="none"/>
        </w:rPr>
        <w:outlineLvl w:val="0"/>
      </w:pPr>
      <w:r/>
      <w:bookmarkStart w:id="38" w:name="_Toc23510"/>
      <w:r>
        <w:rPr>
          <w:rStyle w:val="809"/>
          <w:rFonts w:hint="eastAsia" w:ascii="宋体" w:hAnsi="宋体" w:eastAsia="宋体" w:cs="宋体"/>
          <w:color w:val="auto"/>
          <w:sz w:val="52"/>
          <w:szCs w:val="52"/>
          <w:highlight w:val="none"/>
        </w:rPr>
        <w:t xml:space="preserve">第二章  磋商须知</w:t>
      </w:r>
      <w:bookmarkEnd w:id="38"/>
      <w:r/>
      <w:r/>
    </w:p>
    <w:p>
      <w:pPr>
        <w:spacing w:line="360" w:lineRule="auto"/>
        <w:rPr>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ind w:firstLine="42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1.1本采购文件仅适用于涵熙（苏州）工程顾问有限公司组织的采购活动。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1.3本采购文件的解释权属于涵熙（苏州）工程顾问有限公司。</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2.2采购代理机构：指依法接受采购人委托，从事货物、工程和服务等政府采购业务的采购代理机构。</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2.8货物：系指供应商按采购文件规定，应向采购方提供的一切设备、备品、备件、工具、手册及其它有关技术资料和材料。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2.9服务：系指本次采购文件规定供应商应承担的与提供货物和服务有关的辅助服务，比如运输、保险、安装、调试、提供技术援助、培训、配合措施、维修响应及合同中规定供应商应承担的其它义务。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2.12时间：除特别说明，均指北京时间。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2.13交货地点：合同中明确约定的供应商提交的货物和服务最终到达地点。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2.14合同价款：根据合同规定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供应商在正确地履行合同义务后采购方应支付供应商的价款。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2.17实质性响应：满足有关本次采购标的、数量、质量、价款或者报酬、履行期限、履行地点和方式、违约责任和解决争议方法等要求。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2.18进口产品：指通过中国海关报关验放进入中国境内且产自境外的产品。</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3.申请人的资格要求</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详见本项目采购文件第一章中的“申请人的资格要求”。</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4.1指全权代表供应商参加磋商采购活动并签署磋商响应文件的人，如果磋商供应商代表不是法人代表，须持有《法人代表授权委托书》（详见采购文件第三章统一格式）。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6.1本项目不接受联合体，采购文件中涉及的条款均不适用。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1"/>
          <w:sz w:val="24"/>
          <w:szCs w:val="24"/>
          <w:highlight w:val="none"/>
        </w:rPr>
        <w:t xml:space="preserve">6.2</w:t>
      </w:r>
      <w:r>
        <w:rPr>
          <w:rFonts w:hint="eastAsia" w:ascii="宋体" w:hAnsi="宋体" w:eastAsia="宋体" w:cs="宋体"/>
          <w:color w:val="auto"/>
          <w:sz w:val="24"/>
          <w:highlight w:val="none"/>
        </w:rPr>
        <w:t xml:space="preserve">本项目采购公告中若规定接受联合体的，联合体除应符合上述资格要求外，还应遵守以下规定：</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（2）联合体中有同类资质的供应商按照联合体分工承担相同工作的，应当按照资质等级较低的供应商确定资质等级。</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pacing w:val="-1"/>
          <w:sz w:val="24"/>
          <w:szCs w:val="24"/>
          <w:highlight w:val="none"/>
        </w:rPr>
        <w:t xml:space="preserve">（4）联合体各方应当共同与采购人签订采购合同，就采购合同约定的事项对采购人承担连带责任。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7.采购文件及采购文件的澄清或修改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7.4采购文件及其补充文件未按规定的方式获得的，采购代理机构对采购文件及其补遗的真实性、完整性不承担任何责任。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w:t>
      </w:r>
      <w:r>
        <w:rPr>
          <w:rFonts w:hint="eastAsia" w:ascii="宋体" w:hAnsi="宋体" w:eastAsia="宋体" w:cs="宋体"/>
          <w:color w:val="auto"/>
          <w:sz w:val="24"/>
          <w:szCs w:val="24"/>
          <w:highlight w:val="none"/>
          <w:shd w:val="clear" w:color="auto" w:fill="ffffff"/>
        </w:rPr>
        <w:t xml:space="preserve">通过公告中的联系方式及时提出，采购人或采购代理机构将予以解答，但答复内容不得涉及商业秘密。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684"/>
        <w:ind w:left="0" w:firstLine="482"/>
        <w:spacing w:line="360" w:lineRule="auto"/>
        <w:rPr>
          <w:rFonts w:hint="eastAsia" w:ascii="宋体" w:hAnsi="宋体" w:eastAsia="宋体" w:cs="宋体"/>
          <w:b/>
          <w:color w:val="auto"/>
          <w:sz w:val="24"/>
          <w:szCs w:val="24"/>
          <w:highlight w:val="none"/>
        </w:rPr>
      </w:pPr>
      <w:r/>
      <w:bookmarkStart w:id="39" w:name="_Toc31942"/>
      <w:r>
        <w:rPr>
          <w:rFonts w:hint="eastAsia" w:ascii="宋体" w:hAnsi="宋体" w:eastAsia="宋体" w:cs="宋体"/>
          <w:b/>
          <w:color w:val="auto"/>
          <w:sz w:val="24"/>
          <w:szCs w:val="24"/>
          <w:highlight w:val="none"/>
        </w:rPr>
        <w:t xml:space="preserve">9.现场踏勘及</w:t>
      </w:r>
      <w:r>
        <w:rPr>
          <w:rFonts w:hint="eastAsia" w:ascii="宋体" w:hAnsi="宋体" w:eastAsia="宋体" w:cs="宋体"/>
          <w:b/>
          <w:color w:val="auto"/>
          <w:sz w:val="24"/>
          <w:szCs w:val="24"/>
          <w:highlight w:val="none"/>
          <w:shd w:val="clear" w:color="auto" w:fill="ffffff"/>
        </w:rPr>
        <w:t xml:space="preserve">集中现场考察</w:t>
      </w:r>
      <w:r/>
    </w:p>
    <w:p>
      <w:pPr>
        <w:pStyle w:val="684"/>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9.1</w:t>
      </w:r>
      <w:bookmarkEnd w:id="39"/>
      <w:r>
        <w:rPr>
          <w:rFonts w:hint="eastAsia" w:ascii="宋体" w:hAnsi="宋体" w:eastAsia="宋体" w:cs="宋体"/>
          <w:b/>
          <w:color w:val="auto"/>
          <w:sz w:val="24"/>
          <w:szCs w:val="24"/>
          <w:highlight w:val="none"/>
        </w:rPr>
        <w:t xml:space="preserve">现场踏勘</w:t>
      </w:r>
      <w:r/>
    </w:p>
    <w:p>
      <w:pPr>
        <w:pStyle w:val="684"/>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9.1.1本项目不组织统一</w:t>
      </w:r>
      <w:r>
        <w:rPr>
          <w:rFonts w:hint="eastAsia" w:ascii="宋体" w:hAnsi="宋体" w:eastAsia="宋体" w:cs="宋体"/>
          <w:b/>
          <w:color w:val="auto"/>
          <w:sz w:val="24"/>
          <w:szCs w:val="24"/>
          <w:highlight w:val="none"/>
        </w:rPr>
        <w:t xml:space="preserve">现场踏勘</w:t>
      </w:r>
      <w:r>
        <w:rPr>
          <w:rFonts w:hint="eastAsia" w:ascii="宋体" w:hAnsi="宋体" w:eastAsia="宋体" w:cs="宋体"/>
          <w:b/>
          <w:bCs/>
          <w:color w:val="auto"/>
          <w:sz w:val="24"/>
          <w:szCs w:val="24"/>
          <w:highlight w:val="none"/>
        </w:rPr>
        <w:t xml:space="preserve">。</w:t>
      </w:r>
      <w:r/>
    </w:p>
    <w:p>
      <w:pPr>
        <w:pStyle w:val="684"/>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w:t>
      </w: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供应商可自行对有关现场和周围环境进行踏勘，以获取编制投标（响应）文件和签署合同所需的信息，踏勘现场所发生的费用由供应商自己承担，采购人不对因此造成的任何后果承担责任。</w:t>
      </w:r>
      <w:r/>
    </w:p>
    <w:p>
      <w:pPr>
        <w:pStyle w:val="684"/>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w:t>
      </w:r>
      <w:r>
        <w:rPr>
          <w:rFonts w:hint="eastAsia" w:ascii="宋体" w:hAnsi="宋体" w:eastAsia="宋体" w:cs="宋体"/>
          <w:b/>
          <w:color w:val="auto"/>
          <w:sz w:val="24"/>
          <w:szCs w:val="24"/>
          <w:highlight w:val="none"/>
          <w:shd w:val="clear" w:color="auto" w:fill="ffffff"/>
        </w:rPr>
        <w:t xml:space="preserve">集中现场考察</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684"/>
        <w:ind w:left="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pStyle w:val="684"/>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9.2.5由于未进行现场考察造成的任何问题由供应商自行承担。</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w:t>
      </w:r>
      <w:r>
        <w:rPr>
          <w:rFonts w:hint="eastAsia" w:ascii="宋体" w:hAnsi="宋体" w:eastAsia="宋体" w:cs="宋体"/>
          <w:color w:val="auto"/>
          <w:sz w:val="24"/>
          <w:szCs w:val="24"/>
          <w:highlight w:val="none"/>
          <w:shd w:val="clear" w:color="auto" w:fill="ffffff"/>
        </w:rPr>
        <w:t xml:space="preserve">采购人或采购代理机构概不负责</w:t>
      </w:r>
      <w:r>
        <w:rPr>
          <w:rFonts w:hint="eastAsia" w:ascii="宋体" w:hAnsi="宋体" w:eastAsia="宋体" w:cs="宋体"/>
          <w:color w:val="auto"/>
          <w:sz w:val="24"/>
          <w:szCs w:val="24"/>
          <w:highlight w:val="none"/>
        </w:rPr>
        <w:t xml:space="preserve">。</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12.1.1封面；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12.1.2开标一览表（第一次报价），具体按照“苏采云”系统要求填报；</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12.1.3</w:t>
      </w:r>
      <w:r>
        <w:rPr>
          <w:rFonts w:hint="eastAsia" w:ascii="宋体" w:hAnsi="宋体" w:cs="宋体"/>
          <w:color w:val="auto"/>
          <w:sz w:val="24"/>
          <w:szCs w:val="24"/>
          <w:highlight w:val="none"/>
          <w:lang w:val="en-US" w:eastAsia="zh-CN"/>
        </w:rPr>
        <w:t xml:space="preserve">工程量清单报价表</w:t>
      </w:r>
      <w:r>
        <w:rPr>
          <w:rFonts w:hint="eastAsia" w:ascii="宋体" w:hAnsi="宋体" w:eastAsia="宋体" w:cs="宋体"/>
          <w:color w:val="auto"/>
          <w:sz w:val="24"/>
          <w:szCs w:val="24"/>
          <w:highlight w:val="none"/>
        </w:rPr>
        <w:t xml:space="preserve">（格式见第三章）；</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12.2资格审查响应文件</w:t>
      </w:r>
      <w:r>
        <w:rPr>
          <w:rFonts w:hint="eastAsia" w:ascii="宋体" w:hAnsi="宋体" w:eastAsia="宋体" w:cs="宋体"/>
          <w:b/>
          <w:color w:val="auto"/>
          <w:sz w:val="24"/>
          <w:szCs w:val="24"/>
          <w:highlight w:val="none"/>
        </w:rPr>
        <w:t xml:space="preserve">：</w:t>
      </w:r>
      <w:r/>
    </w:p>
    <w:tbl>
      <w:tblPr>
        <w:tblStyle w:val="68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3845"/>
        <w:gridCol w:w="5034"/>
      </w:tblGrid>
      <w:tr>
        <w:trPr>
          <w:trHeight w:val="567"/>
        </w:trPr>
        <w:tc>
          <w:tcPr>
            <w:tcW w:w="36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2008"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2628"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评审要求</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一、基本资格条件</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具有独立承担民事责任的能力</w:t>
            </w:r>
            <w:r/>
          </w:p>
        </w:tc>
        <w:tc>
          <w:tcPr>
            <w:tcW w:w="262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供应商提供包括法人或者其他组织的营业执照等证明文件，自然人的</w:t>
            </w:r>
            <w:r>
              <w:rPr>
                <w:rFonts w:hint="eastAsia" w:ascii="宋体" w:hAnsi="宋体" w:eastAsia="宋体" w:cs="宋体"/>
                <w:color w:val="auto"/>
                <w:szCs w:val="21"/>
                <w:highlight w:val="none"/>
                <w:lang w:eastAsia="zh"/>
              </w:rPr>
              <w:t xml:space="preserve">提供</w:t>
            </w:r>
            <w:r>
              <w:rPr>
                <w:rFonts w:hint="eastAsia" w:ascii="宋体" w:hAnsi="宋体" w:eastAsia="宋体" w:cs="宋体"/>
                <w:color w:val="auto"/>
                <w:szCs w:val="21"/>
                <w:highlight w:val="none"/>
              </w:rPr>
              <w:t xml:space="preserve">身份证明。</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具有良好的商业信誉和健全的财务会计制度</w:t>
            </w:r>
            <w:r/>
          </w:p>
        </w:tc>
        <w:tc>
          <w:tcPr>
            <w:tcW w:w="262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供应商为法人的，应提供最近一期</w:t>
            </w:r>
            <w:r>
              <w:rPr>
                <w:rFonts w:hint="eastAsia" w:ascii="宋体" w:hAnsi="宋体" w:eastAsia="宋体" w:cs="宋体"/>
                <w:b/>
                <w:bCs/>
                <w:color w:val="auto"/>
                <w:szCs w:val="21"/>
                <w:highlight w:val="none"/>
              </w:rPr>
              <w:t xml:space="preserve">经审计的财务报告</w:t>
            </w:r>
            <w:r>
              <w:rPr>
                <w:rFonts w:hint="eastAsia" w:ascii="宋体" w:hAnsi="宋体" w:eastAsia="宋体" w:cs="宋体"/>
                <w:color w:val="auto"/>
                <w:szCs w:val="21"/>
                <w:highlight w:val="none"/>
              </w:rPr>
              <w:t xml:space="preserve">，或基本开户银行出具的银行资信证明，或财政部门认可的政府采购专业担保机构出具的投标担保函；部分其他组织、自然人，若没有财务报告，可以提供银行出具的资信证明。</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具有履行合同所必需的设备和专业技术能力</w:t>
            </w:r>
            <w:r/>
          </w:p>
        </w:tc>
        <w:tc>
          <w:tcPr>
            <w:tcW w:w="262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供应商提供设备清单、相关技术人员的职称证书和用工合同或</w:t>
            </w:r>
            <w:r>
              <w:rPr>
                <w:rFonts w:hint="eastAsia" w:ascii="宋体" w:hAnsi="宋体" w:eastAsia="宋体" w:cs="宋体"/>
                <w:color w:val="auto"/>
                <w:szCs w:val="21"/>
                <w:highlight w:val="none"/>
                <w:shd w:val="clear" w:color="auto" w:fill="ffffff"/>
              </w:rPr>
              <w:t xml:space="preserve">具有履行合同所必需的设备和专业技术能力的承诺书（格式自拟）。</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有依法缴纳税收和社会保障资金的良好记录</w:t>
            </w:r>
            <w:r/>
          </w:p>
        </w:tc>
        <w:tc>
          <w:tcPr>
            <w:tcW w:w="2628"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参加政府采购活动前三年内，在经营活动中没有重大违法记录</w:t>
            </w:r>
            <w:r/>
          </w:p>
        </w:tc>
        <w:tc>
          <w:tcPr>
            <w:tcW w:w="262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供应商提供参加政府采购活动前三年内在经营活动中没有重大违法记录的书面声明。</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法律、行政法规规定的其他条件</w:t>
            </w:r>
            <w:r/>
          </w:p>
        </w:tc>
        <w:tc>
          <w:tcPr>
            <w:tcW w:w="262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符合法律、行政法规规定的其他条件的证明材料或书面声明。</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b/>
                <w:color w:val="auto"/>
                <w:szCs w:val="21"/>
                <w:highlight w:val="none"/>
              </w:rPr>
              <w:t xml:space="preserve">二、落实政府采购政策需满足的资格要求</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008"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根据《政府采购促进中小企业发展管理办法》的相关规定，本项目专门面向中小企业采购，所属行业为建筑业，供应商应为中小微企业、监狱企业、残疾人福利性单位</w:t>
            </w:r>
            <w:r/>
          </w:p>
        </w:tc>
        <w:tc>
          <w:tcPr>
            <w:tcW w:w="2628" w:type="pct"/>
            <w:vAlign w:val="center"/>
            <w:textDirection w:val="lrTb"/>
            <w:noWrap w:val="false"/>
          </w:tcPr>
          <w:p>
            <w:pPr>
              <w:pStyle w:val="688"/>
              <w:jc w:val="left"/>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提供《中小企业声明函》或《残疾人福利性单位声明函》或省级以上监狱管理局、戒毒管理局（含新疆生产建设兵团）出具的属于监狱企业的证明文件。</w:t>
            </w:r>
            <w:r/>
          </w:p>
          <w:p>
            <w:pPr>
              <w:pStyle w:val="688"/>
              <w:jc w:val="left"/>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auto"/>
                <w:sz w:val="24"/>
                <w:highlight w:val="none"/>
              </w:rPr>
              <w:t xml:space="preserve">。</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bCs/>
                <w:color w:val="auto"/>
                <w:sz w:val="22"/>
                <w:szCs w:val="22"/>
                <w:highlight w:val="none"/>
                <w:shd w:val="clear" w:color="auto" w:fill="ffffff"/>
              </w:rPr>
              <w:t xml:space="preserve">三、本项目的特定资格要求</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具有有效的市政公用工程施工总承包三级及以上资质，具备安全生产条件，并取得有效期内的安全生产许可证</w:t>
            </w:r>
            <w:r/>
          </w:p>
        </w:tc>
        <w:tc>
          <w:tcPr>
            <w:tcW w:w="2628"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供应商提供有效的市政公用工程施工总承包三级及以上资质证书和《安全生产许可证》扫描件。</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拟选派项目负责人资质等级：市政公用工程专业二级及以上建造师和《建筑施工企业项目负责人安全生产考核合格证书》（B证），且必须满足下列条件：</w:t>
            </w:r>
            <w:r/>
          </w:p>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（1）项目负责人不得同时在两个或者两个以上单位受聘或者执业（同时在两个及以上单位签订劳动合同或交纳社会保险或将本人执（职）业资格证书同时注册在两个及以上单位）。</w:t>
            </w:r>
            <w:r/>
          </w:p>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tc>
        <w:tc>
          <w:tcPr>
            <w:tcW w:w="2628"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供应商提供项目负责人的市政公用工程专业二级及以上建造师证书和《建筑施工企业项目负责人安全生产考核合格证书》（B证）；《项目负责人无在建工程承诺书》。</w:t>
            </w:r>
            <w:r/>
          </w:p>
        </w:tc>
      </w:tr>
      <w:tr>
        <w:trPr>
          <w:trHeight w:val="567"/>
        </w:trPr>
        <w:tc>
          <w:tcPr>
            <w:tcW w:w="36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200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未被“信用中国”网站（www.creditchina.gov.cn）列入失信被执行人、重大税收违法案件当事人名单、政府采购严重失信行为记录名单</w:t>
            </w:r>
            <w:r/>
          </w:p>
        </w:tc>
        <w:tc>
          <w:tcPr>
            <w:tcW w:w="2628"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供应商提供网站下载的信用报告或网页查询截图。</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采购代理机构按照采购文件第二章“21.信用查询”要求执行。</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以上资格审查的要求和必须提供的材料是作为对供应商资格审查、质疑身份认定的依据。</w:t>
      </w:r>
      <w:r>
        <w:rPr>
          <w:rFonts w:hint="eastAsia" w:ascii="宋体" w:hAnsi="宋体" w:eastAsia="宋体" w:cs="宋体"/>
          <w:b/>
          <w:color w:val="auto"/>
          <w:sz w:val="24"/>
          <w:szCs w:val="24"/>
          <w:highlight w:val="none"/>
        </w:rPr>
        <w:t xml:space="preserve">必须清晰可辨，供应商必须提供并盖章。</w:t>
      </w:r>
      <w:r>
        <w:rPr>
          <w:rFonts w:hint="eastAsia" w:ascii="宋体" w:hAnsi="宋体" w:eastAsia="宋体" w:cs="宋体"/>
          <w:b/>
          <w:color w:val="auto"/>
          <w:sz w:val="24"/>
          <w:szCs w:val="24"/>
          <w:highlight w:val="none"/>
          <w:u w:val="single"/>
        </w:rPr>
        <w:t xml:space="preserve">未按要求提供的投标（响应）无效。</w:t>
      </w:r>
      <w:r/>
    </w:p>
    <w:p>
      <w:pPr>
        <w:pStyle w:val="766"/>
        <w:ind w:firstLine="482"/>
        <w:spacing w:after="0"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12.3符合性审查响应文件</w:t>
      </w:r>
      <w:r/>
    </w:p>
    <w:tbl>
      <w:tblPr>
        <w:tblStyle w:val="681"/>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4260"/>
        <w:gridCol w:w="4591"/>
      </w:tblGrid>
      <w:tr>
        <w:trPr>
          <w:trHeight w:val="567"/>
        </w:trPr>
        <w:tc>
          <w:tcPr>
            <w:tcW w:w="373"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2227" w:type="pct"/>
            <w:vAlign w:val="center"/>
            <w:textDirection w:val="lrTb"/>
            <w:noWrap w:val="false"/>
          </w:tcPr>
          <w:p>
            <w:pPr>
              <w:pStyle w:val="688"/>
              <w:jc w:val="center"/>
              <w:spacing w:after="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评审项</w:t>
            </w:r>
            <w:r/>
          </w:p>
        </w:tc>
        <w:tc>
          <w:tcPr>
            <w:tcW w:w="2398" w:type="pct"/>
            <w:vAlign w:val="center"/>
            <w:textDirection w:val="lrTb"/>
            <w:noWrap w:val="false"/>
          </w:tcPr>
          <w:p>
            <w:pPr>
              <w:pStyle w:val="688"/>
              <w:jc w:val="center"/>
              <w:spacing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评审要求</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一、报价要求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供应商报价不得超出采购预算及最高限价</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以响应文件报价为准(供应商无须单独提供资料)</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二、商务要求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响应函</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供应商法定代表人身份证扫描件</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法定代表人授权委托书、供应商代理人身份证扫描件及供应商为其缴纳的近一个月社保证明（如有授权）</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授权委托书格式见第三章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供应商基本情况表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lang w:val="en-US" w:eastAsia="zh-CN"/>
              </w:rPr>
              <w:t xml:space="preserve">5</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关于</w:t>
            </w:r>
            <w:r>
              <w:rPr>
                <w:rFonts w:hint="eastAsia" w:ascii="宋体" w:hAnsi="宋体" w:eastAsia="宋体" w:cs="宋体"/>
                <w:color w:val="auto"/>
                <w:szCs w:val="21"/>
                <w:highlight w:val="none"/>
              </w:rPr>
              <w:t xml:space="preserve">资格文件的声明函</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val="en-US" w:eastAsia="zh-CN"/>
              </w:rPr>
              <w:t xml:space="preserve">6</w:t>
            </w:r>
            <w:r/>
          </w:p>
        </w:tc>
        <w:tc>
          <w:tcPr>
            <w:tcW w:w="2227" w:type="pct"/>
            <w:vAlign w:val="center"/>
            <w:textDirection w:val="lrTb"/>
            <w:noWrap w:val="false"/>
          </w:tcPr>
          <w:p>
            <w:pPr>
              <w:pStyle w:val="688"/>
              <w:jc w:val="left"/>
              <w:spacing w:after="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供应商与其他单位存在直接控股、管理关系情况表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val="en-US" w:eastAsia="zh-CN"/>
              </w:rPr>
              <w:t xml:space="preserve">7</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商务要求偏离表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val="en-US" w:eastAsia="zh-CN"/>
              </w:rPr>
              <w:t xml:space="preserve">8</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拟投入本项目人员配备一览表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default"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lang w:val="en-US" w:eastAsia="zh-CN"/>
              </w:rPr>
              <w:t xml:space="preserve">9</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投标（响应）保证承诺书</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gridSpan w:val="3"/>
            <w:tcW w:w="5000"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三、技术要求</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技术或服务要求偏离表</w:t>
            </w:r>
            <w:r/>
          </w:p>
        </w:tc>
        <w:tc>
          <w:tcPr>
            <w:tcW w:w="2398"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W w:w="2227"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拟投入本项目</w:t>
            </w:r>
            <w:r>
              <w:rPr>
                <w:rFonts w:hint="eastAsia" w:ascii="宋体" w:hAnsi="宋体" w:cs="宋体"/>
                <w:color w:val="auto"/>
                <w:szCs w:val="21"/>
                <w:highlight w:val="none"/>
                <w:lang w:val="en-US" w:eastAsia="zh-CN"/>
              </w:rPr>
              <w:t xml:space="preserve">专业</w:t>
            </w:r>
            <w:r>
              <w:rPr>
                <w:rFonts w:hint="eastAsia" w:ascii="宋体" w:hAnsi="宋体" w:eastAsia="宋体" w:cs="宋体"/>
                <w:color w:val="auto"/>
                <w:szCs w:val="21"/>
                <w:highlight w:val="none"/>
              </w:rPr>
              <w:t xml:space="preserve">设备清单</w:t>
            </w:r>
            <w:r/>
          </w:p>
        </w:tc>
        <w:tc>
          <w:tcPr>
            <w:tcW w:w="2398"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格式见第三章</w:t>
            </w:r>
            <w:r/>
          </w:p>
        </w:tc>
      </w:tr>
      <w:tr>
        <w:trPr>
          <w:trHeight w:val="567"/>
        </w:trPr>
        <w:tc>
          <w:tcPr>
            <w:tcW w:w="373" w:type="pct"/>
            <w:vAlign w:val="center"/>
            <w:textDirection w:val="lrTb"/>
            <w:noWrap w:val="false"/>
          </w:tcPr>
          <w:p>
            <w:pPr>
              <w:pStyle w:val="688"/>
              <w:jc w:val="center"/>
              <w:spacing w:after="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2227" w:type="pct"/>
            <w:vAlign w:val="center"/>
            <w:textDirection w:val="lrTb"/>
            <w:noWrap w:val="false"/>
          </w:tcPr>
          <w:p>
            <w:pPr>
              <w:pStyle w:val="688"/>
              <w:jc w:val="left"/>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采购需求中所涉及到的或供应商认为需加以说明或证明的其他有关符合性证明材料、证明（如有）</w:t>
            </w:r>
            <w:r/>
          </w:p>
        </w:tc>
        <w:tc>
          <w:tcPr>
            <w:tcW w:w="2398" w:type="pct"/>
            <w:vAlign w:val="center"/>
            <w:textDirection w:val="lrTb"/>
            <w:noWrap w:val="false"/>
          </w:tcPr>
          <w:p>
            <w:pPr>
              <w:pStyle w:val="688"/>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格式自拟</w:t>
            </w:r>
            <w:r/>
          </w:p>
        </w:tc>
      </w:tr>
    </w:tbl>
    <w:p>
      <w:pPr>
        <w:pStyle w:val="840"/>
        <w:ind w:left="0" w:firstLine="482"/>
        <w:rPr>
          <w:rFonts w:hint="eastAsia" w:ascii="宋体" w:hAnsi="宋体" w:eastAsia="宋体" w:cs="宋体"/>
          <w:b/>
          <w:color w:val="auto"/>
          <w:sz w:val="24"/>
          <w:szCs w:val="24"/>
          <w:highlight w:val="none"/>
          <w:u w:val="single"/>
        </w:rPr>
      </w:pPr>
      <w:r/>
      <w:bookmarkStart w:id="40" w:name="_Hlk193373720"/>
      <w:r>
        <w:rPr>
          <w:rFonts w:hint="eastAsia" w:ascii="宋体" w:hAnsi="宋体" w:eastAsia="宋体" w:cs="宋体"/>
          <w:b/>
          <w:color w:val="auto"/>
          <w:sz w:val="24"/>
          <w:szCs w:val="24"/>
          <w:highlight w:val="none"/>
          <w:u w:val="single"/>
        </w:rPr>
        <w:t xml:space="preserve">以上为符合性审查的要求和必须提供的材料，未按要求提供的投标（响应）无效。</w:t>
      </w:r>
      <w:bookmarkEnd w:id="40"/>
      <w:r/>
      <w:r/>
    </w:p>
    <w:p>
      <w:pPr>
        <w:pStyle w:val="840"/>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12.4.1技术部分（评分要点及技术要求）；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12.4.2评分标准中所涉及到的其他材料等；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12.4.3其他需供应商对本次响应的详细说明。</w:t>
      </w:r>
      <w:r/>
    </w:p>
    <w:p>
      <w:pPr>
        <w:pStyle w:val="840"/>
        <w:ind w:left="0"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12.5企业报价折扣证明：</w:t>
      </w:r>
      <w:r>
        <w:rPr>
          <w:rFonts w:hint="eastAsia" w:ascii="宋体" w:hAnsi="宋体" w:eastAsia="宋体" w:cs="宋体"/>
          <w:color w:val="auto"/>
          <w:sz w:val="24"/>
          <w:szCs w:val="24"/>
          <w:highlight w:val="none"/>
        </w:rPr>
        <w:t xml:space="preserve">本项目专门面向中小企业采购，</w:t>
      </w:r>
      <w:r>
        <w:rPr>
          <w:rFonts w:hint="eastAsia" w:ascii="宋体" w:hAnsi="宋体" w:eastAsia="宋体" w:cs="宋体"/>
          <w:b/>
          <w:bCs/>
          <w:color w:val="auto"/>
          <w:sz w:val="24"/>
          <w:szCs w:val="24"/>
          <w:highlight w:val="none"/>
        </w:rPr>
        <w:t xml:space="preserve">所属行业为</w:t>
      </w:r>
      <w:r>
        <w:rPr>
          <w:rFonts w:hint="eastAsia" w:ascii="宋体" w:hAnsi="宋体" w:cs="宋体"/>
          <w:b/>
          <w:bCs/>
          <w:color w:val="auto"/>
          <w:sz w:val="24"/>
          <w:szCs w:val="24"/>
          <w:highlight w:val="none"/>
          <w:lang w:val="en-US" w:eastAsia="zh-CN"/>
        </w:rPr>
        <w:t xml:space="preserve">建筑</w:t>
      </w:r>
      <w:r>
        <w:rPr>
          <w:rFonts w:hint="eastAsia" w:ascii="宋体" w:hAnsi="宋体" w:eastAsia="宋体" w:cs="宋体"/>
          <w:b/>
          <w:bCs/>
          <w:color w:val="auto"/>
          <w:sz w:val="24"/>
          <w:szCs w:val="24"/>
          <w:highlight w:val="none"/>
        </w:rPr>
        <w:t xml:space="preserve">业，</w:t>
      </w:r>
      <w:r>
        <w:rPr>
          <w:rFonts w:hint="eastAsia" w:ascii="宋体" w:hAnsi="宋体" w:eastAsia="宋体" w:cs="宋体"/>
          <w:color w:val="auto"/>
          <w:sz w:val="24"/>
          <w:szCs w:val="24"/>
          <w:highlight w:val="none"/>
        </w:rPr>
        <w:t xml:space="preserve">供应商应为中小微企业、监狱企业、残疾人福利性单位，</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应提供《中小企业声明函》或残疾人福利性单位声明函或省级以上监狱管理局、戒毒管理局（含新疆生产建设兵团）出具的属于监狱企业的证明文件。</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注：响应文件由上述条款规定的内容共同组成。响应单位必须提交上述12.1-12.3、12.5款规定的资料。否则，响应文件将因资格条件不符或未实质性响应采购文件而被拒绝。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按上述要求提交相关资料。响应单位必须保证全部资料的真实性，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除非合同中另有规定，响应报价涵盖在服务期内完成服务内容所需要的一切费用，包括完成该项目所需的全部人工费、材料费、机械费、管理费、利润、工程风险、规费、应有税费，以及所需的施工准备、施工过程、保修期等所需的供货、运输、运杂保险、装卸、备品、备件、损耗、安装、调试、人员培训、售后服务、专利技术、代理服务费等一切费用。采购方无需再支付其他任何</w:t>
      </w:r>
      <w:r>
        <w:rPr>
          <w:rFonts w:hint="eastAsia" w:ascii="宋体" w:hAnsi="宋体" w:eastAsia="宋体" w:cs="宋体"/>
          <w:color w:val="auto"/>
          <w:spacing w:val="1"/>
          <w:sz w:val="24"/>
          <w:szCs w:val="24"/>
          <w:highlight w:val="none"/>
        </w:rPr>
        <w:t xml:space="preserve">费用。</w:t>
      </w:r>
      <w:r>
        <w:rPr>
          <w:rFonts w:hint="eastAsia" w:ascii="宋体" w:hAnsi="宋体" w:eastAsia="宋体" w:cs="宋体"/>
          <w:color w:val="auto"/>
          <w:sz w:val="24"/>
          <w:szCs w:val="24"/>
          <w:highlight w:val="none"/>
        </w:rPr>
        <w:t xml:space="preserve">磋商二次报价为最终报价。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15.1自磋商响应文件递交（上传）截止之日起</w:t>
      </w: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bookmarkStart w:id="41" w:name="_Hlk193374938"/>
      <w:r>
        <w:rPr>
          <w:rFonts w:hint="eastAsia" w:ascii="宋体" w:hAnsi="宋体" w:eastAsia="宋体" w:cs="宋体"/>
          <w:color w:val="auto"/>
          <w:sz w:val="24"/>
          <w:szCs w:val="24"/>
          <w:highlight w:val="none"/>
        </w:rPr>
        <w:t xml:space="preserve">16.4在投标（响应）截止时间止，采购人或采购代理机构收到的某标段投标（响应）文件少于三份，采购人或采购代理机构有权宣布该标段本次招标（采购）失败。</w:t>
      </w:r>
      <w:bookmarkEnd w:id="41"/>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17.4联合体投标：如招标(采购)公告中允许联合体投标（响应），联合体的投标(响应)文件制作上传操作如下：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第一步：在投标(响应)文件中上传联合体投标（响应）协议书。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18.9供应商应当按照采购文件的变动情况和磋商小组的要求，及时关注【评审】环节等待澄清及回复。</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748"/>
          <w:rFonts w:hint="eastAsia" w:ascii="宋体" w:hAnsi="宋体" w:eastAsia="宋体" w:cs="宋体"/>
          <w:color w:val="auto"/>
          <w:szCs w:val="24"/>
          <w:highlight w:val="none"/>
        </w:rPr>
        <w:t xml:space="preserve">提交最后报价的供应商不得少于3家。</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18.11根据江苏省财政厅《关于推动解决政府采购异常低价问题相关工作的通知》（苏财购〔2025〕62号）规定，政府采购异常低价审查：</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ind w:firstLine="480"/>
        <w:jc w:val="left"/>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上述启动异常低价投标(响应)审查情形的，相关供应商应按评审委员会要求在评审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或者提供的书面说明、证明材料不能证明其报价合理性的，评审委员会应当将其作为无效投标(响应)处理。</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18.12经磋商确定最终采购需求和提交最后报价的供应商后，由磋商小组采用综合评分法进行评分。</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767"/>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18.16以上磋商活动所涉及系统操作，以“苏采云”系统最新要求为准。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21.3在评审期间，采购人或采购代理机构将通过指定联络人与磋商供应商进行联系。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42" w:name="_Hlk132385599"/>
      <w:r/>
      <w:bookmarkStart w:id="43" w:name="_Hlk132385577"/>
      <w:r/>
      <w:bookmarkStart w:id="44" w:name="_Hlk132389804"/>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2"/>
      <w:r/>
      <w:bookmarkEnd w:id="43"/>
      <w:r/>
      <w:bookmarkEnd w:id="44"/>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26.成交服务费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26.1成交单位须</w:t>
      </w:r>
      <w:r>
        <w:rPr>
          <w:rFonts w:hint="eastAsia" w:ascii="宋体" w:hAnsi="宋体" w:eastAsia="宋体" w:cs="宋体"/>
          <w:color w:val="auto"/>
          <w:sz w:val="24"/>
          <w:szCs w:val="24"/>
          <w:highlight w:val="none"/>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预算金额：5000万元（含）以上部分按预算金额的0.25%收取；领取成交通知书时向</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代理机构一次性付清。</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本项目成交服务费为人民币</w:t>
      </w:r>
      <w:r>
        <w:rPr>
          <w:rFonts w:hint="eastAsia" w:ascii="宋体" w:hAnsi="宋体" w:cs="宋体"/>
          <w:color w:val="auto"/>
          <w:sz w:val="24"/>
          <w:szCs w:val="24"/>
          <w:highlight w:val="none"/>
          <w:lang w:val="en-US" w:eastAsia="zh-CN"/>
        </w:rPr>
        <w:t xml:space="preserve">叁万陆仟伍佰玖拾壹</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36591</w:t>
      </w:r>
      <w:r>
        <w:rPr>
          <w:rFonts w:hint="eastAsia" w:ascii="宋体" w:hAnsi="宋体" w:eastAsia="宋体" w:cs="宋体"/>
          <w:color w:val="auto"/>
          <w:sz w:val="24"/>
          <w:szCs w:val="24"/>
          <w:highlight w:val="none"/>
        </w:rPr>
        <w:t xml:space="preserve">.00），含税。</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27.履约保证金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27.1履约保证金</w:t>
      </w:r>
      <w:r>
        <w:rPr>
          <w:rFonts w:hint="eastAsia" w:ascii="宋体" w:hAnsi="宋体" w:cs="宋体"/>
          <w:bCs/>
          <w:color w:val="auto"/>
          <w:sz w:val="24"/>
          <w:szCs w:val="24"/>
          <w:highlight w:val="none"/>
          <w:lang w:val="en-US" w:eastAsia="zh-CN"/>
        </w:rPr>
        <w:t xml:space="preserve">，具体详见合同</w:t>
      </w:r>
      <w:r>
        <w:rPr>
          <w:rFonts w:hint="eastAsia" w:ascii="宋体" w:hAnsi="宋体" w:eastAsia="宋体" w:cs="宋体"/>
          <w:bCs/>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下载“政府采购电子履约保函（保险）操作手册”。</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提供银行履约保函的，此保函开具银行范围须是苏州市级分行，且内容须满足甲方的格式的要求。履约担保期限为自本合同生效之日起至采购人向中标（成交）单位颁发竣工证书之日止，如果中标（成交）单位无法获得一份不带具体截止日期的履约保函，履约保函中应当有“变更工程竣工日期的，保证期间按照变更后的竣工日期做相应调整”或类似约定的条款，或由中标（成交）单位负责自费延长履约保函有效期，延长次数不限，直至采购人向中标（成交）单位颁发竣工证书之日止。</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27.4在中标（成交）通知书发出的十五天内，中标（成交）单位应当以支票、汇票、本票或者金融机构、担保机构出具的保函等非现金形式提交履约保证金。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27.5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27.6履约保证金（无息）在服务期满且服务缺陷更正并验收合格后的15个工作日内，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28.未尽事宜</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br w:type="page" w:clear="all"/>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highlight w:val="none"/>
        </w:rPr>
        <w:outlineLvl w:val="0"/>
      </w:pPr>
      <w:r/>
      <w:bookmarkStart w:id="45" w:name="_Toc31428"/>
      <w:r>
        <w:rPr>
          <w:rFonts w:hint="eastAsia" w:ascii="宋体" w:hAnsi="宋体" w:eastAsia="宋体" w:cs="宋体"/>
          <w:b/>
          <w:bCs/>
          <w:color w:val="auto"/>
          <w:sz w:val="52"/>
          <w:szCs w:val="52"/>
          <w:highlight w:val="none"/>
        </w:rPr>
        <w:t xml:space="preserve">第三章  磋商响应文件格式</w:t>
      </w:r>
      <w:bookmarkEnd w:id="45"/>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授权委托书</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（姓名）为我公司代理人，以本公司的名义参加涵熙（苏州）工程顾问有限公司组织实施的编号为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号的磋商邀请活动。代理人在磋商活动过程中所签署的一切文件和处理与这有关的一切事务，我公司均予以承认并承担相应的法律后果。</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代理人在授权委托书有效期内签署的所有文件不因授权委托的撤销而失效，除非本公司提前3个工作日向贵公司或者采购人提交撤销授权委托的书面通知，本授权委托书自磋商活动开始至合同履行完毕止。</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代理人无转委托权。特此委托。</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2"/>
        <w:jc w:val="center"/>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磋商响应函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w:t>
      </w:r>
      <w:r>
        <w:rPr>
          <w:rFonts w:hint="eastAsia" w:ascii="宋体" w:hAnsi="宋体" w:eastAsia="宋体" w:cs="宋体"/>
          <w:color w:val="auto"/>
          <w:spacing w:val="-6"/>
          <w:sz w:val="24"/>
          <w:szCs w:val="24"/>
          <w:highlight w:val="none"/>
        </w:rPr>
        <w:t xml:space="preserve">：</w:t>
      </w:r>
      <w:r/>
    </w:p>
    <w:p>
      <w:pPr>
        <w:ind w:firstLine="4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我方已仔</w:t>
      </w:r>
      <w:r>
        <w:rPr>
          <w:rFonts w:hint="eastAsia" w:ascii="宋体" w:hAnsi="宋体" w:eastAsia="宋体" w:cs="宋体"/>
          <w:color w:val="auto"/>
          <w:sz w:val="24"/>
          <w:szCs w:val="24"/>
          <w:highlight w:val="none"/>
        </w:rPr>
        <w:t xml:space="preserve">细研究了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号项目的磋商文件，决定参加本次采购活动，并向贵公司承诺：</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1、我们愿意按照采购文件的一切要求，提供完成该项目的全部内容，我们的报价包括完成该项目所需的</w:t>
      </w:r>
      <w:bookmarkStart w:id="46" w:name="OLE_LINK2"/>
      <w:r/>
      <w:bookmarkStart w:id="47" w:name="OLE_LINK1"/>
      <w:r>
        <w:rPr>
          <w:rFonts w:hint="eastAsia" w:ascii="宋体" w:hAnsi="宋体" w:eastAsia="宋体" w:cs="宋体"/>
          <w:color w:val="auto"/>
          <w:sz w:val="24"/>
          <w:szCs w:val="24"/>
          <w:highlight w:val="none"/>
        </w:rPr>
        <w:t xml:space="preserve">全部人工费、材料费、机械费、管理费、利润、工程风险、规费、应有税费，以及所需的施工准备、施工过程、保修期等所需的供货、运输、运杂保险、装卸、备品、备件、损耗、安装、调试、人员培训、售后服务、专利技术、代理服务费等一切费用</w:t>
      </w:r>
      <w:bookmarkEnd w:id="46"/>
      <w:r/>
      <w:bookmarkEnd w:id="47"/>
      <w:r>
        <w:rPr>
          <w:rFonts w:hint="eastAsia" w:ascii="宋体" w:hAnsi="宋体" w:eastAsia="宋体" w:cs="宋体"/>
          <w:color w:val="auto"/>
          <w:sz w:val="24"/>
          <w:szCs w:val="24"/>
          <w:highlight w:val="none"/>
        </w:rPr>
        <w:t xml:space="preserve">。此外，除非合同条款中另有规定，否则，我方报价在合同实施期间不因市场因素、政策规定变更因素等任何因素调整。</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4、我们同意按采购文件中的规定，本磋商响应文件的有效期限为响应文件提交截止之日起九十天。如果我们在开标后规定的有效期内撤回，我们愿承担一切责任。</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5、我们愿意提供采购人在采购文件中要求的所有资料。</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7、我们承诺该磋商响应文件在磋商开始后的全过程中保持有效，不做任何更改和变动。我方同意被确定成交后若不履行我方响应文件的内容要求和各项承诺及义务的即被视为违约，我方成交资格将被取消。</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10、如果我们成交，我们愿意按采购文件的规定支付代理服务费。</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11、综合说明：</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12、所有有关磋商响应文件的函电，请按下列地址联系：</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数字人民币开户行（如有）：</w:t>
      </w:r>
      <w:r/>
    </w:p>
    <w:p>
      <w:pPr>
        <w:pStyle w:val="82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数字人民币账户（数币钱包ID）：</w:t>
      </w:r>
      <w:r/>
    </w:p>
    <w:p>
      <w:pPr>
        <w:pStyle w:val="8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br w:type="page" w:clear="all"/>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3、开标一览表（第一次报价，具体按“苏采云”系统填报）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684"/>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4、工程量清单报价表</w:t>
      </w:r>
      <w:r>
        <w:rPr>
          <w:rFonts w:hint="eastAsia" w:ascii="宋体" w:hAnsi="宋体" w:eastAsia="宋体" w:cs="宋体"/>
          <w:b/>
          <w:bCs/>
          <w:color w:val="auto"/>
          <w:sz w:val="24"/>
          <w:szCs w:val="24"/>
          <w:highlight w:val="none"/>
          <w:lang w:bidi="ar"/>
        </w:rPr>
        <w:t xml:space="preserve">（工程量清单自行下载）</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ind w:left="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注：合计金额应与开标一览表总报价金额一致；否则，以开标一览表为准。</w:t>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6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u w:val="single"/>
        </w:rPr>
        <w:t xml:space="preserve">涵熙（苏州）工程顾问有限公司</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jc w:val="left"/>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lang w:val="en-US" w:eastAsia="zh-CN"/>
        </w:rPr>
        <w:t xml:space="preserve">基本</w:t>
      </w:r>
      <w:r>
        <w:rPr>
          <w:rFonts w:hint="eastAsia" w:ascii="宋体" w:hAnsi="宋体" w:cs="宋体"/>
          <w:b/>
          <w:bCs/>
          <w:color w:val="auto"/>
          <w:sz w:val="24"/>
          <w:szCs w:val="24"/>
          <w:highlight w:val="none"/>
        </w:rPr>
        <w:t xml:space="preserve">情况表</w:t>
      </w:r>
      <w:r/>
    </w:p>
    <w:p>
      <w:pPr>
        <w:jc w:val="cente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lang w:val="en-US" w:eastAsia="zh-CN"/>
        </w:rPr>
        <w:t xml:space="preserve">基本</w:t>
      </w:r>
      <w:r>
        <w:rPr>
          <w:rFonts w:hint="eastAsia" w:ascii="宋体" w:hAnsi="宋体" w:cs="宋体"/>
          <w:b/>
          <w:bCs/>
          <w:color w:val="auto"/>
          <w:sz w:val="24"/>
          <w:szCs w:val="24"/>
          <w:highlight w:val="none"/>
        </w:rPr>
        <w:t xml:space="preserve">情况表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68"/>
        <w:gridCol w:w="1950"/>
        <w:gridCol w:w="1417"/>
        <w:gridCol w:w="1518"/>
        <w:gridCol w:w="1120"/>
      </w:tblGrid>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法定代表人</w:t>
            </w:r>
            <w:r/>
          </w:p>
        </w:tc>
        <w:tc>
          <w:tcPr>
            <w:tcW w:w="1950"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成立日期</w:t>
            </w:r>
            <w:r/>
          </w:p>
        </w:tc>
        <w:tc>
          <w:tcPr>
            <w:gridSpan w:val="2"/>
            <w:tcW w:w="263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企业地址</w:t>
            </w:r>
            <w:r/>
          </w:p>
        </w:tc>
        <w:tc>
          <w:tcPr>
            <w:tcW w:w="1950"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注册资本</w:t>
            </w:r>
            <w:r/>
          </w:p>
        </w:tc>
        <w:tc>
          <w:tcPr>
            <w:gridSpan w:val="2"/>
            <w:tcW w:w="2638" w:type="dxa"/>
            <w:vAlign w:val="center"/>
            <w:textDirection w:val="lrTb"/>
            <w:noWrap w:val="false"/>
          </w:tcPr>
          <w:p>
            <w:pPr>
              <w:jc w:val="righ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万元</w:t>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经营范围</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职工人数</w:t>
            </w:r>
            <w:r/>
          </w:p>
        </w:tc>
        <w:tc>
          <w:tcPr>
            <w:tcW w:w="1950"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2"/>
            <w:tcW w:w="293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其中：有中高级以上职称的人数</w:t>
            </w:r>
            <w:r/>
          </w:p>
        </w:tc>
        <w:tc>
          <w:tcPr>
            <w:tcW w:w="1120"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资产总计</w:t>
            </w:r>
            <w:r/>
          </w:p>
        </w:tc>
        <w:tc>
          <w:tcPr>
            <w:tcW w:w="1950" w:type="dxa"/>
            <w:vAlign w:val="center"/>
            <w:textDirection w:val="lrTb"/>
            <w:noWrap w:val="false"/>
          </w:tcPr>
          <w:p>
            <w:pPr>
              <w:jc w:val="righ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万元</w:t>
            </w:r>
            <w:r/>
          </w:p>
        </w:tc>
        <w:tc>
          <w:tcPr>
            <w:tcW w:w="141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净资产</w:t>
            </w:r>
            <w:r/>
          </w:p>
        </w:tc>
        <w:tc>
          <w:tcPr>
            <w:gridSpan w:val="2"/>
            <w:tcW w:w="2638"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万元</w:t>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股东权益</w:t>
            </w:r>
            <w:r/>
          </w:p>
        </w:tc>
        <w:tc>
          <w:tcPr>
            <w:tcW w:w="1950" w:type="dxa"/>
            <w:vAlign w:val="center"/>
            <w:textDirection w:val="lrTb"/>
            <w:noWrap w:val="false"/>
          </w:tcPr>
          <w:p>
            <w:pPr>
              <w:jc w:val="righ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万元</w:t>
            </w:r>
            <w:r/>
          </w:p>
        </w:tc>
        <w:tc>
          <w:tcPr>
            <w:tcW w:w="141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销售收入</w:t>
            </w:r>
            <w:r/>
          </w:p>
        </w:tc>
        <w:tc>
          <w:tcPr>
            <w:gridSpan w:val="2"/>
            <w:tcW w:w="263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年       万元</w:t>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实现利润</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年    万元</w:t>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经营面积</w:t>
            </w:r>
            <w:r/>
          </w:p>
        </w:tc>
        <w:tc>
          <w:tcPr>
            <w:tcW w:w="1950" w:type="dxa"/>
            <w:vAlign w:val="center"/>
            <w:textDirection w:val="lrTb"/>
            <w:noWrap w:val="false"/>
          </w:tcPr>
          <w:p>
            <w:pPr>
              <w:jc w:val="righ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平方米</w:t>
            </w:r>
            <w:r/>
          </w:p>
        </w:tc>
        <w:tc>
          <w:tcPr>
            <w:tcW w:w="141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其中：</w:t>
            </w:r>
            <w:r/>
          </w:p>
        </w:tc>
        <w:tc>
          <w:tcPr>
            <w:gridSpan w:val="2"/>
            <w:tcW w:w="263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自有面积     平方米</w:t>
            </w:r>
            <w:r/>
          </w:p>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承租面积     平方米</w:t>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单位简历及内设机构情况</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567"/>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单位优势及特长</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762"/>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近三年来完成或正在履行的重大合同情况</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762"/>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最近2年内在经营过程中受到何种奖励或处分</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（包括财政、工商、税务、物价、技监部门稽查情况和结果）</w:t>
            </w:r>
            <w:r/>
          </w:p>
        </w:tc>
      </w:tr>
      <w:tr>
        <w:trPr>
          <w:cantSplit/>
          <w:jc w:val="center"/>
          <w:trHeight w:val="1092"/>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最近3年内有无因售假、售劣或是其他原因被消费者投诉或起诉的情况及说明</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（包括解决方式和结果）</w:t>
            </w:r>
            <w:r/>
          </w:p>
        </w:tc>
      </w:tr>
      <w:tr>
        <w:trPr>
          <w:cantSplit/>
          <w:jc w:val="center"/>
          <w:trHeight w:val="1073"/>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最近3年内主要负责人有无经济犯罪被司法机关追究的情意及说明</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635"/>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获得技术认证的工程师及简介</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jc w:val="center"/>
          <w:trHeight w:val="700"/>
        </w:trPr>
        <w:tc>
          <w:tcPr>
            <w:tcW w:w="3468"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其他需要说明的情况</w:t>
            </w:r>
            <w:r/>
          </w:p>
        </w:tc>
        <w:tc>
          <w:tcPr>
            <w:gridSpan w:val="4"/>
            <w:tcW w:w="600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、响应单位与其他单位存在控股、管理关系情况表</w:t>
      </w:r>
      <w:r/>
    </w:p>
    <w:p>
      <w:pPr>
        <w:pStyle w:val="68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3455"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768"/>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653"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存在直接股权、管理关系的企业情况。</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应按上表要求据实填写，如填写“无”或不填写，均视为</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声明不存在有关情形。</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t xml:space="preserve">注2：其中“直接控股”是指</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与大型企业之间存在直接投资并控股（非普通持股）的关系。</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、商务条款偏离表</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jc w:val="center"/>
        <w:tblLayout w:type="fixed"/>
        <w:tblCellMar>
          <w:left w:w="0" w:type="dxa"/>
          <w:top w:w="0" w:type="dxa"/>
          <w:right w:w="0" w:type="dxa"/>
          <w:bottom w:w="0" w:type="dxa"/>
        </w:tblCellMar>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8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服务关于商务条款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spacing w:line="400" w:lineRule="exact"/>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、技术或服务要求偏离表</w:t>
      </w:r>
      <w:r/>
    </w:p>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技术或服务要求偏离表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630"/>
        <w:gridCol w:w="1494"/>
        <w:gridCol w:w="1988"/>
        <w:gridCol w:w="1988"/>
        <w:gridCol w:w="1501"/>
        <w:gridCol w:w="1379"/>
      </w:tblGrid>
      <w:tr>
        <w:trP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注：1、响应单位应对照磋商文件服务/技术要求等要求，所响应服务/技术与磋商文件的规定有偏离的，应在此表中申明与服务/技术要求条文的偏差和例外。</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响应文件其他内容中已有文字说明的，则以已有文字说明为准，否则，将被认为完全响应磋商文件的规定。但该表不作为响应单位对所响应服务/技术关于服务/技术要求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、投入本项目人员配备一览表</w:t>
      </w:r>
      <w:r/>
    </w:p>
    <w:p>
      <w:pPr>
        <w:ind w:left="825"/>
        <w:jc w:val="center"/>
        <w:spacing w:before="218" w:line="219" w:lineRule="auto"/>
        <w:rPr>
          <w:rFonts w:hint="eastAsia" w:ascii="宋体" w:hAnsi="宋体" w:eastAsia="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0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987"/>
        <w:gridCol w:w="936"/>
        <w:gridCol w:w="729"/>
        <w:gridCol w:w="631"/>
        <w:gridCol w:w="756"/>
        <w:gridCol w:w="818"/>
        <w:gridCol w:w="1106"/>
        <w:gridCol w:w="1237"/>
        <w:gridCol w:w="889"/>
      </w:tblGrid>
      <w:tr>
        <w:trPr>
          <w:jc w:val="center"/>
          <w:trHeight w:val="891"/>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序</w:t>
            </w:r>
            <w:r>
              <w:rPr>
                <w:rFonts w:hint="eastAsia" w:ascii="宋体" w:hAnsi="宋体" w:eastAsia="宋体" w:cs="宋体"/>
                <w:color w:val="auto"/>
                <w:spacing w:val="-1"/>
                <w:sz w:val="24"/>
                <w:szCs w:val="24"/>
                <w:highlight w:val="none"/>
              </w:rPr>
              <w:t xml:space="preserve">号</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岗</w:t>
            </w:r>
            <w:r>
              <w:rPr>
                <w:rFonts w:hint="eastAsia" w:ascii="宋体" w:hAnsi="宋体" w:eastAsia="宋体" w:cs="宋体"/>
                <w:color w:val="auto"/>
                <w:spacing w:val="-7"/>
                <w:sz w:val="24"/>
                <w:szCs w:val="24"/>
                <w:highlight w:val="none"/>
              </w:rPr>
              <w:t xml:space="preserve">位</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姓</w:t>
            </w:r>
            <w:r>
              <w:rPr>
                <w:rFonts w:hint="eastAsia" w:ascii="宋体" w:hAnsi="宋体" w:eastAsia="宋体" w:cs="宋体"/>
                <w:color w:val="auto"/>
                <w:spacing w:val="-1"/>
                <w:sz w:val="24"/>
                <w:szCs w:val="24"/>
                <w:highlight w:val="none"/>
              </w:rPr>
              <w:t xml:space="preserve">名</w:t>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性</w:t>
            </w:r>
            <w:r>
              <w:rPr>
                <w:rFonts w:hint="eastAsia" w:ascii="宋体" w:hAnsi="宋体" w:eastAsia="宋体" w:cs="宋体"/>
                <w:color w:val="auto"/>
                <w:spacing w:val="-1"/>
                <w:sz w:val="24"/>
                <w:szCs w:val="24"/>
                <w:highlight w:val="none"/>
              </w:rPr>
              <w:t xml:space="preserve">别</w:t>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年龄</w:t>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学</w:t>
            </w:r>
            <w:r>
              <w:rPr>
                <w:rFonts w:hint="eastAsia" w:ascii="宋体" w:hAnsi="宋体" w:eastAsia="宋体" w:cs="宋体"/>
                <w:color w:val="auto"/>
                <w:spacing w:val="-2"/>
                <w:sz w:val="24"/>
                <w:szCs w:val="24"/>
                <w:highlight w:val="none"/>
              </w:rPr>
              <w:t xml:space="preserve">历</w:t>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专业</w:t>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证</w:t>
            </w:r>
            <w:r>
              <w:rPr>
                <w:rFonts w:hint="eastAsia" w:ascii="宋体" w:hAnsi="宋体" w:eastAsia="宋体" w:cs="宋体"/>
                <w:color w:val="auto"/>
                <w:spacing w:val="-1"/>
                <w:sz w:val="24"/>
                <w:szCs w:val="24"/>
                <w:highlight w:val="none"/>
              </w:rPr>
              <w:t xml:space="preserve">书情况</w:t>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从事本</w:t>
            </w:r>
            <w:r>
              <w:rPr>
                <w:rFonts w:hint="eastAsia" w:ascii="宋体" w:hAnsi="宋体" w:eastAsia="宋体" w:cs="宋体"/>
                <w:color w:val="auto"/>
                <w:spacing w:val="-1"/>
                <w:sz w:val="24"/>
                <w:szCs w:val="24"/>
                <w:highlight w:val="none"/>
              </w:rPr>
              <w:t xml:space="preserve">工作</w:t>
            </w:r>
            <w:r>
              <w:rPr>
                <w:rFonts w:hint="eastAsia" w:ascii="宋体" w:hAnsi="宋体" w:eastAsia="宋体" w:cs="宋体"/>
                <w:color w:val="auto"/>
                <w:spacing w:val="-4"/>
                <w:sz w:val="24"/>
                <w:szCs w:val="24"/>
                <w:highlight w:val="none"/>
              </w:rPr>
              <w:t xml:space="preserve">时间</w:t>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备</w:t>
            </w:r>
            <w:r>
              <w:rPr>
                <w:rFonts w:hint="eastAsia" w:ascii="宋体" w:hAnsi="宋体" w:eastAsia="宋体" w:cs="宋体"/>
                <w:color w:val="auto"/>
                <w:spacing w:val="-2"/>
                <w:sz w:val="24"/>
                <w:szCs w:val="24"/>
                <w:highlight w:val="none"/>
              </w:rPr>
              <w:t xml:space="preserve">注</w:t>
            </w:r>
            <w:r/>
          </w:p>
        </w:tc>
      </w:tr>
      <w:tr>
        <w:trPr>
          <w:jc w:val="center"/>
          <w:trHeight w:val="428"/>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rPr>
              <w:t xml:space="preserve">…</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b/>
          <w:color w:val="auto"/>
          <w:sz w:val="24"/>
          <w:highlight w:val="none"/>
        </w:rPr>
      </w:pPr>
      <w:r>
        <w:rPr>
          <w:rFonts w:hint="eastAsia" w:ascii="宋体" w:hAnsi="宋体" w:eastAsia="宋体" w:cs="宋体"/>
          <w:color w:val="auto"/>
          <w:szCs w:val="21"/>
          <w:highlight w:val="none"/>
          <w:lang w:val="zh-CN"/>
        </w:rPr>
        <w:br w:type="page" w:clear="all"/>
      </w:r>
      <w:r>
        <w:rPr>
          <w:rFonts w:hint="eastAsia" w:ascii="宋体" w:hAnsi="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、针对本项目的服务方案</w:t>
      </w:r>
      <w:r/>
    </w:p>
    <w:p>
      <w:pPr>
        <w:jc w:val="center"/>
        <w:spacing w:before="25" w:after="2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before="25" w:after="2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针对本项目制定的服务方案</w:t>
      </w:r>
      <w:r/>
    </w:p>
    <w:tbl>
      <w:tblPr>
        <w:tblStyle w:val="68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Borders>
              <w:top w:val="single" w:color="auto" w:sz="4" w:space="0"/>
              <w:left w:val="single" w:color="auto" w:sz="4" w:space="0"/>
              <w:bottom w:val="single" w:color="auto" w:sz="4" w:space="0"/>
              <w:right w:val="single" w:color="auto" w:sz="4" w:space="0"/>
            </w:tcBorders>
            <w:tcW w:w="9648" w:type="dxa"/>
            <w:textDirection w:val="lrTb"/>
            <w:noWrap w:val="false"/>
          </w:tcPr>
          <w:p>
            <w:pPr>
              <w:pStyle w:val="684"/>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提示：</w:t>
            </w:r>
            <w:r>
              <w:rPr>
                <w:rFonts w:hint="eastAsia" w:ascii="宋体" w:hAnsi="宋体" w:eastAsia="宋体" w:cs="宋体"/>
                <w:color w:val="auto"/>
                <w:sz w:val="24"/>
                <w:szCs w:val="24"/>
                <w:highlight w:val="none"/>
              </w:rPr>
              <w:t xml:space="preserve">供应商应根据本次项目要求，对所响应的服务进行详细的说明与描述。</w:t>
            </w:r>
            <w:r/>
          </w:p>
        </w:tc>
      </w:tr>
      <w:tr>
        <w:trPr>
          <w:trHeight w:val="9418"/>
        </w:trPr>
        <w:tc>
          <w:tcPr>
            <w:tcBorders>
              <w:top w:val="single" w:color="auto" w:sz="4" w:space="0"/>
              <w:left w:val="single" w:color="auto" w:sz="4" w:space="0"/>
              <w:bottom w:val="single" w:color="auto" w:sz="4" w:space="0"/>
              <w:right w:val="single" w:color="auto" w:sz="4" w:space="0"/>
            </w:tcBorders>
            <w:tcW w:w="9648" w:type="dxa"/>
            <w:vAlign w:val="bottom"/>
            <w:textDirection w:val="lrTb"/>
            <w:noWrap w:val="false"/>
          </w:tcPr>
          <w:p>
            <w:pPr>
              <w:ind w:firstLine="210"/>
              <w:jc w:val="center"/>
              <w:tabs>
                <w:tab w:val="left" w:pos="132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jc w:val="left"/>
        <w:rPr>
          <w:rFonts w:hint="eastAsia" w:ascii="宋体" w:hAnsi="宋体" w:eastAsia="宋体" w:cs="宋体"/>
          <w:b/>
          <w:color w:val="auto"/>
          <w:sz w:val="24"/>
          <w:highlight w:val="none"/>
        </w:rPr>
      </w:pPr>
      <w:r>
        <w:rPr>
          <w:rFonts w:hint="eastAsia" w:ascii="宋体" w:hAnsi="宋体" w:eastAsia="宋体" w:cs="宋体"/>
          <w:color w:val="auto"/>
          <w:szCs w:val="21"/>
          <w:highlight w:val="none"/>
          <w:lang w:val="zh-CN"/>
        </w:rPr>
        <w:br w:type="page" w:clear="all"/>
      </w:r>
      <w:r>
        <w:rPr>
          <w:rFonts w:hint="eastAsia" w:ascii="宋体" w:hAnsi="宋体" w:cs="宋体"/>
          <w:b/>
          <w:color w:val="auto"/>
          <w:sz w:val="24"/>
          <w:highlight w:val="none"/>
          <w:lang w:val="en-US" w:eastAsia="zh-CN"/>
        </w:rPr>
        <w:t xml:space="preserve">12</w:t>
      </w:r>
      <w:r>
        <w:rPr>
          <w:rFonts w:hint="eastAsia" w:ascii="宋体" w:hAnsi="宋体" w:eastAsia="宋体" w:cs="宋体"/>
          <w:b/>
          <w:color w:val="auto"/>
          <w:sz w:val="24"/>
          <w:highlight w:val="none"/>
        </w:rPr>
        <w:t xml:space="preserve">、拟投入本项目专业设备清单</w:t>
      </w:r>
      <w:r/>
    </w:p>
    <w:p>
      <w:pPr>
        <w:ind w:firstLine="42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拟投入本项目专业设备清单</w:t>
      </w:r>
      <w:r/>
    </w:p>
    <w:p>
      <w:pPr>
        <w:ind w:firstLine="40"/>
        <w:spacing w:line="360" w:lineRule="auto"/>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681"/>
        <w:tblW w:w="10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066"/>
        <w:gridCol w:w="2234"/>
        <w:gridCol w:w="1966"/>
        <w:gridCol w:w="1144"/>
        <w:gridCol w:w="1205"/>
        <w:gridCol w:w="818"/>
        <w:gridCol w:w="823"/>
      </w:tblGrid>
      <w:tr>
        <w:trPr>
          <w:jc w:val="center"/>
          <w:trHeight w:val="644"/>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品牌规格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生产厂家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443"/>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1"/>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0"/>
        </w:trPr>
        <w:tc>
          <w:tcPr>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23"/>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68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4"/>
        <w:gridCol w:w="1676"/>
        <w:gridCol w:w="2188"/>
        <w:gridCol w:w="1676"/>
        <w:gridCol w:w="1257"/>
        <w:gridCol w:w="1275"/>
      </w:tblGrid>
      <w:tr>
        <w:trPr>
          <w:cantSplit/>
          <w:jc w:val="center"/>
          <w:trHeight w:val="800"/>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88"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开始日期</w:t>
            </w:r>
            <w:r/>
          </w:p>
        </w:tc>
        <w:tc>
          <w:tcPr>
            <w:tcW w:w="125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结束日期</w:t>
            </w:r>
            <w:r/>
          </w:p>
        </w:tc>
        <w:tc>
          <w:tcPr>
            <w:tcW w:w="1275"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36"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注：具体要求详见评分标准。</w:t>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Style w:val="80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clear="all"/>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、中小企业声明函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中小企业声明函（工程、服务）</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 小型企业、微型企业）；</w:t>
      </w:r>
      <w:r/>
    </w:p>
    <w:p>
      <w:pPr>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2、在服务采购项目中，服务由中小企业承接，即提供服务的人员为中小企业依照《中华人民共和国劳动合同法》订立劳动合同的从业人员。</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4、如未对（中型企业、小型企业、微型企业）进行勾选，视同非小微企业，不可享受相应扶持政策。</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8" w:name="_Hlk72923453"/>
      <w:r>
        <w:rPr>
          <w:rFonts w:hint="eastAsia" w:ascii="宋体" w:hAnsi="宋体" w:eastAsia="宋体" w:cs="宋体"/>
          <w:color w:val="auto"/>
          <w:szCs w:val="21"/>
          <w:highlight w:val="none"/>
          <w:lang w:val="zh-CN"/>
        </w:rPr>
        <w:t xml:space="preserve">符合中小企业划分标准的个体工商户，在政府采购活动中视同中小企业</w:t>
      </w:r>
      <w:bookmarkEnd w:id="48"/>
      <w:r>
        <w:rPr>
          <w:rFonts w:hint="eastAsia" w:ascii="宋体" w:hAnsi="宋体" w:eastAsia="宋体" w:cs="宋体"/>
          <w:color w:val="auto"/>
          <w:szCs w:val="21"/>
          <w:highlight w:val="none"/>
          <w:lang w:val="zh-CN"/>
        </w:rPr>
        <w:t xml:space="preserve">。</w:t>
      </w:r>
      <w:r/>
    </w:p>
    <w:p>
      <w:pPr>
        <w:pStyle w:val="692"/>
        <w:ind w:firstLine="420"/>
        <w:rPr>
          <w:rFonts w:hint="eastAsia" w:ascii="宋体" w:hAnsi="宋体" w:eastAsia="宋体" w:cs="宋体"/>
          <w:color w:val="auto"/>
          <w:szCs w:val="21"/>
          <w:highlight w:val="none"/>
          <w:lang w:val="zh-CN"/>
        </w:rPr>
      </w:pPr>
      <w:r/>
      <w:bookmarkStart w:id="49" w:name="_Hlk94450593"/>
      <w:r>
        <w:rPr>
          <w:rFonts w:hint="eastAsia" w:ascii="宋体" w:hAnsi="宋体" w:eastAsia="宋体" w:cs="宋体"/>
          <w:color w:val="auto"/>
          <w:szCs w:val="21"/>
          <w:highlight w:val="none"/>
        </w:rPr>
        <w:t xml:space="preserve">7、响应</w:t>
      </w:r>
      <w:r>
        <w:rPr>
          <w:rFonts w:hint="eastAsia" w:ascii="宋体" w:hAnsi="宋体" w:eastAsia="宋体" w:cs="宋体"/>
          <w:color w:val="auto"/>
          <w:szCs w:val="21"/>
          <w:highlight w:val="none"/>
          <w:lang w:val="zh-CN"/>
        </w:rPr>
        <w:t xml:space="preserve">文件中的电子签章视为供应商对本声明进行了签署盖章并承担相应责任</w:t>
      </w:r>
      <w:bookmarkEnd w:id="49"/>
      <w:r>
        <w:rPr>
          <w:rFonts w:hint="eastAsia" w:ascii="宋体" w:hAnsi="宋体" w:eastAsia="宋体" w:cs="宋体"/>
          <w:color w:val="auto"/>
          <w:szCs w:val="21"/>
          <w:highlight w:val="none"/>
          <w:lang w:val="zh-CN"/>
        </w:rPr>
        <w:t xml:space="preserve">。</w:t>
      </w:r>
      <w:r/>
    </w:p>
    <w:p>
      <w:pPr>
        <w:pStyle w:val="69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8、成交单位为中小企业的，《中小企业声明函》将随成交结果同时公告。</w:t>
      </w:r>
      <w:r/>
    </w:p>
    <w:p>
      <w:pPr>
        <w:pStyle w:val="864"/>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、残疾人福利性单位声明函</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、投标（响应）保证承诺书</w:t>
      </w:r>
      <w:r/>
    </w:p>
    <w:p>
      <w:pPr>
        <w:jc w:val="cente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致：涵熙（苏州）工程顾问有限公司</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rPr>
          <w:rFonts w:hint="eastAsia" w:ascii="宋体" w:hAnsi="宋体" w:eastAsia="宋体" w:cs="宋体"/>
          <w:color w:val="auto"/>
          <w:sz w:val="24"/>
          <w:szCs w:val="24"/>
          <w:highlight w:val="none"/>
        </w:rPr>
      </w:pPr>
      <w:r>
        <w:rPr>
          <w:rStyle w:val="809"/>
          <w:rFonts w:hint="eastAsia" w:ascii="宋体" w:hAnsi="宋体" w:eastAsia="宋体" w:cs="宋体"/>
          <w:color w:val="auto"/>
          <w:sz w:val="48"/>
          <w:szCs w:val="48"/>
          <w:highlight w:val="none"/>
        </w:rPr>
        <w:br w:type="page" w:clear="all"/>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09"/>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第四章 采购内容</w:t>
      </w:r>
      <w:r/>
    </w:p>
    <w:p>
      <w:pPr>
        <w:jc w:val="center"/>
        <w:spacing w:line="360" w:lineRule="auto"/>
        <w:rPr>
          <w:rStyle w:val="809"/>
          <w:rFonts w:hint="eastAsia" w:ascii="宋体" w:hAnsi="宋体" w:eastAsia="宋体" w:cs="宋体"/>
          <w:b/>
          <w:bCs/>
          <w:color w:val="auto"/>
          <w:sz w:val="32"/>
          <w:szCs w:val="32"/>
          <w:highlight w:val="none"/>
        </w:rPr>
      </w:pPr>
      <w:r>
        <w:rPr>
          <w:rStyle w:val="809"/>
          <w:rFonts w:hint="eastAsia" w:ascii="宋体" w:hAnsi="宋体" w:eastAsia="宋体" w:cs="宋体"/>
          <w:color w:val="auto"/>
          <w:sz w:val="48"/>
          <w:szCs w:val="48"/>
          <w:highlight w:val="none"/>
        </w:rPr>
        <w:br w:type="page" w:clear="all"/>
      </w:r>
      <w:r>
        <w:rPr>
          <w:rStyle w:val="809"/>
          <w:rFonts w:hint="eastAsia" w:ascii="宋体" w:hAnsi="宋体" w:eastAsia="宋体" w:cs="宋体"/>
          <w:b/>
          <w:bCs/>
          <w:color w:val="auto"/>
          <w:sz w:val="32"/>
          <w:szCs w:val="32"/>
          <w:highlight w:val="none"/>
        </w:rPr>
        <w:t xml:space="preserve">采购内容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涵熙（苏州）工程顾问有限公司受</w:t>
      </w:r>
      <w:r>
        <w:rPr>
          <w:rFonts w:hint="eastAsia" w:ascii="宋体" w:hAnsi="宋体" w:eastAsia="宋体" w:cs="宋体"/>
          <w:color w:val="auto"/>
          <w:sz w:val="24"/>
          <w:szCs w:val="24"/>
          <w:highlight w:val="none"/>
          <w:lang w:eastAsia="zh-CN"/>
        </w:rPr>
        <w:t xml:space="preserve">苏州高新区（虎丘区）通安镇人民政府</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lang w:eastAsia="zh-CN"/>
        </w:rPr>
        <w:t xml:space="preserve">通安镇金墅老街环境整治</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一、采购需求：</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（一）采购内容：</w:t>
      </w:r>
      <w:r/>
    </w:p>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eastAsia="宋体" w:cs="宋体"/>
          <w:color w:val="auto"/>
          <w:sz w:val="24"/>
          <w:highlight w:val="none"/>
        </w:rPr>
        <w:t xml:space="preserve">本工程为苏州高新区（虎丘区）通安镇人民政府的</w:t>
      </w:r>
      <w:r>
        <w:rPr>
          <w:rFonts w:hint="eastAsia" w:ascii="宋体" w:hAnsi="宋体" w:eastAsia="宋体" w:cs="宋体"/>
          <w:color w:val="auto"/>
          <w:sz w:val="24"/>
          <w:highlight w:val="none"/>
          <w:lang w:eastAsia="zh-CN"/>
        </w:rPr>
        <w:t xml:space="preserve">通安镇金墅老街环境整治</w:t>
      </w:r>
      <w:r>
        <w:rPr>
          <w:rFonts w:hint="eastAsia" w:ascii="宋体" w:hAnsi="宋体" w:eastAsia="宋体" w:cs="宋体"/>
          <w:color w:val="auto"/>
          <w:sz w:val="24"/>
          <w:highlight w:val="none"/>
        </w:rPr>
        <w:t xml:space="preserve">。项目位于</w:t>
      </w:r>
      <w:r>
        <w:rPr>
          <w:rFonts w:hint="eastAsia" w:ascii="宋体" w:hAnsi="宋体" w:eastAsia="宋体" w:cs="宋体"/>
          <w:color w:val="auto"/>
          <w:sz w:val="24"/>
          <w:highlight w:val="none"/>
          <w:lang w:val="en-US" w:eastAsia="zh-CN"/>
        </w:rPr>
        <w:t xml:space="preserve">苏州市虎丘区通安镇</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包括园路铺装翻新、景观小品及成品设施安置、栽植绿化、场地平整硬化、沥青道路翻新、污水管网整治及零星拆除</w:t>
      </w:r>
      <w:r>
        <w:rPr>
          <w:rFonts w:hint="eastAsia" w:ascii="宋体" w:hAnsi="宋体" w:eastAsia="宋体" w:cs="宋体"/>
          <w:color w:val="auto"/>
          <w:sz w:val="24"/>
          <w:highlight w:val="none"/>
          <w:lang w:val="en-US" w:eastAsia="zh-CN"/>
        </w:rPr>
        <w:t xml:space="preserve">等内容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1、为保障项目正常运行，本项目至少需配备项目负责人1名，</w:t>
      </w:r>
      <w:r>
        <w:rPr>
          <w:rFonts w:hint="eastAsia" w:ascii="宋体" w:hAnsi="宋体" w:cs="宋体"/>
          <w:color w:val="auto"/>
          <w:sz w:val="24"/>
          <w:szCs w:val="24"/>
          <w:highlight w:val="none"/>
          <w:lang w:val="en-US" w:eastAsia="zh-CN"/>
        </w:rPr>
        <w:t xml:space="preserve">技术负责人1名，</w:t>
      </w:r>
      <w:r>
        <w:rPr>
          <w:rFonts w:hint="eastAsia" w:ascii="宋体" w:hAnsi="宋体" w:eastAsia="宋体" w:cs="宋体"/>
          <w:color w:val="auto"/>
          <w:sz w:val="24"/>
          <w:szCs w:val="24"/>
          <w:highlight w:val="none"/>
        </w:rPr>
        <w:t xml:space="preserve">项目组成员若干名。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2、承包方式：包工包料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（1）成交单位应组织成立施工项目组，项目组人员配置符合国家及行业相关规定。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（2）施工质量应符合现行国家技术、施工及验收规范规程，如有对施工工艺的特殊要求，按图纸及国家有关规定执行。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（3）质量要求：合格。</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（4）施工人员需服从采购方安全管理。</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项目条件：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1、本工程项目按照现行法律、法规和部门规章，通过磋商方式，选定承包人。</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2、现场条件：</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2.1施工现场平整情况：</w:t>
      </w:r>
      <w:r>
        <w:rPr>
          <w:rFonts w:hint="eastAsia" w:ascii="宋体" w:hAnsi="宋体" w:cs="宋体"/>
          <w:color w:val="auto"/>
          <w:sz w:val="24"/>
          <w:szCs w:val="24"/>
          <w:highlight w:val="none"/>
          <w:u w:val="single"/>
        </w:rPr>
        <w:t xml:space="preserve">现有原状</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2.2场内外道路：</w:t>
      </w:r>
      <w:r>
        <w:rPr>
          <w:rFonts w:hint="eastAsia" w:ascii="宋体" w:hAnsi="宋体" w:cs="宋体"/>
          <w:color w:val="auto"/>
          <w:sz w:val="24"/>
          <w:szCs w:val="24"/>
          <w:highlight w:val="none"/>
          <w:u w:val="single"/>
        </w:rPr>
        <w:t xml:space="preserve">已到位</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2.3施工用电：</w:t>
      </w:r>
      <w:r>
        <w:rPr>
          <w:rFonts w:hint="eastAsia" w:ascii="宋体" w:hAnsi="宋体" w:cs="宋体"/>
          <w:color w:val="auto"/>
          <w:sz w:val="24"/>
          <w:szCs w:val="24"/>
          <w:highlight w:val="none"/>
          <w:u w:val="single"/>
        </w:rPr>
        <w:t xml:space="preserve">已到位</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3、发包范围：</w:t>
      </w:r>
      <w:r>
        <w:rPr>
          <w:rFonts w:hint="eastAsia" w:ascii="宋体" w:hAnsi="宋体" w:eastAsia="宋体" w:cs="宋体"/>
          <w:color w:val="auto"/>
          <w:sz w:val="24"/>
          <w:szCs w:val="24"/>
          <w:highlight w:val="none"/>
          <w:u w:val="single"/>
          <w:lang w:eastAsia="zh-CN"/>
        </w:rPr>
        <w:t xml:space="preserve">通安镇金墅老街环境整治</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4、工期要求：</w:t>
      </w:r>
      <w:r>
        <w:rPr>
          <w:rFonts w:hint="eastAsia" w:ascii="宋体" w:hAnsi="宋体" w:cs="宋体"/>
          <w:color w:val="auto"/>
          <w:sz w:val="24"/>
          <w:szCs w:val="24"/>
          <w:highlight w:val="none"/>
          <w:u w:val="single"/>
          <w:lang w:eastAsia="zh-CN"/>
        </w:rPr>
        <w:t xml:space="preserve">4个月，具体开工日期以采购人通知为准。</w:t>
      </w:r>
      <w:r/>
    </w:p>
    <w:p>
      <w:pPr>
        <w:ind w:firstLine="482"/>
        <w:keepLines w:val="0"/>
        <w:keepNext w:val="0"/>
        <w:pageBreakBefore w:val="0"/>
        <w:spacing w:line="360" w:lineRule="auto"/>
        <w:widowControl w:val="off"/>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）报价要求：</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1、计价方式：本工程项目采用下列第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种计价方式。</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p>
    <w:p>
      <w:pPr>
        <w:ind w:firstLine="480"/>
        <w:keepLines w:val="0"/>
        <w:keepNext w:val="0"/>
        <w:pageBreakBefore w:val="0"/>
        <w:spacing w:line="360" w:lineRule="auto"/>
        <w:widowControl w:val="off"/>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（2）计价表计价方式</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2、报价方式：本工程项目采用下列第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 种报价方式。</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（1）固定总价报价。竞争报价人应充分考虑施工期间各类建材市场价格变化，政策性调整的风险，一旦经评审确定成交单位，报价不作调整。</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80"/>
        <w:keepLines w:val="0"/>
        <w:keepNext w:val="0"/>
        <w:pageBreakBefore w:val="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hint="eastAsia" w:ascii="宋体" w:hAnsi="宋体" w:eastAsia="宋体" w:cs="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④实质性响应条款：</w:t>
      </w:r>
      <w:r>
        <w:rPr>
          <w:rFonts w:hint="eastAsia" w:ascii="宋体" w:hAnsi="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追加费用不得超过原合同金额的10%。</w:t>
      </w:r>
      <w:r>
        <w:rPr>
          <w:rFonts w:hint="eastAsia" w:ascii="宋体" w:hAnsi="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原合同金额10%以内的追加费用，限于原合同内工程清单数量调整增加的工程费用，原合同外工程内容不得计入。</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3、计价时，不可竞争费用均按规定计算，不得让利或随意调整计算标准，否则报价无效。</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4、计价格式中列明的所有需要填报的单价和合价，供应商均需填报，未填报的单价和合价，视为此项费用已包含在工程量清单的其他单价和合价中。</w:t>
      </w:r>
      <w:r/>
    </w:p>
    <w:p>
      <w:pPr>
        <w:ind w:firstLine="482"/>
        <w:spacing w:line="360" w:lineRule="auto"/>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）履约验收要求：</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1、项目完成后将由采购人、相关管理部门等进行验收。</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2、验收标准：符合国家现行规范、行业标准以及省、市、苏州</w:t>
      </w:r>
      <w:r>
        <w:rPr>
          <w:rFonts w:hint="eastAsia" w:ascii="宋体" w:hAnsi="宋体" w:cs="宋体"/>
          <w:color w:val="auto"/>
          <w:sz w:val="24"/>
          <w:szCs w:val="24"/>
          <w:highlight w:val="none"/>
          <w:lang w:val="en-US" w:eastAsia="zh-CN"/>
        </w:rPr>
        <w:t xml:space="preserve">高新区</w:t>
      </w:r>
      <w:r>
        <w:rPr>
          <w:rFonts w:hint="eastAsia" w:ascii="宋体" w:hAnsi="宋体" w:eastAsia="宋体" w:cs="宋体"/>
          <w:color w:val="auto"/>
          <w:sz w:val="24"/>
          <w:szCs w:val="24"/>
          <w:highlight w:val="none"/>
        </w:rPr>
        <w:t xml:space="preserve">相关审核要求、采购文件及相关附件、技术条件及成交单位承诺的其它指标。</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3、验收时间：根据采购人进度安排确定。</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成交单位未能按时完成项目内容或验收不合格、相关要求不合格、达不到采购文件要求或响应文件中所承诺的标准，成交单位将无偿采取补救措施，以达到质量要求且不得影响最终项目时间进程。否则采购人有权拒绝付款，并上报有关部门进行失信登记，成交单位须承担相关损失及违约责任。</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5、本项目将根据政府采购法及相关法规，以及《江苏省政府采购履约验收管理办法》文件的规定，对供应商进行履约验收。</w:t>
      </w:r>
      <w:r/>
    </w:p>
    <w:p>
      <w:pPr>
        <w:ind w:firstLine="482"/>
        <w:spacing w:line="360" w:lineRule="auto"/>
        <w:tabs>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二、综合说明：</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1、供应商提供的服务能够至少达到以上要求，并对所提供的全部资料的真实性承担法律责任。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2、供应商必须说明其是否响应采购文件中提出的全部服务内容与要求，如果以其中某些条款不响应时，应在文件中逐条列出，未列出的视同响应。</w:t>
      </w:r>
      <w:r/>
    </w:p>
    <w:p>
      <w:pPr>
        <w:ind w:firstLine="480"/>
        <w:spacing w:line="360" w:lineRule="auto"/>
        <w:tabs>
          <w:tab w:val="left" w:pos="1134"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3、报价包括完成该项目所需的全部人工费、材料费、机械费、管理费、利润、工程风险、规费、应有税费，以及所需的施工准备、施工过程、保修期等所需的供货、运输、运杂保险、装卸、备品、备件、损耗、安装、调试、人员培训、售后服务、专利技术、代理服务费等一切费用。采购方无需再支付其他任何</w:t>
      </w:r>
      <w:r>
        <w:rPr>
          <w:rFonts w:hint="eastAsia" w:ascii="宋体" w:hAnsi="宋体" w:eastAsia="宋体" w:cs="宋体"/>
          <w:color w:val="auto"/>
          <w:spacing w:val="1"/>
          <w:sz w:val="24"/>
          <w:szCs w:val="24"/>
          <w:highlight w:val="none"/>
        </w:rPr>
        <w:t xml:space="preserve">费用。除非合同条款中另有规定，否则，前述报价在合同实施期间不因市场因素、政策规定变更因素等任何因素调整。</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质</w:t>
      </w:r>
      <w:r>
        <w:rPr>
          <w:rFonts w:hint="eastAsia" w:ascii="宋体" w:hAnsi="宋体" w:eastAsia="宋体" w:cs="宋体"/>
          <w:color w:val="auto"/>
          <w:sz w:val="24"/>
          <w:szCs w:val="24"/>
          <w:highlight w:val="none"/>
        </w:rPr>
        <w:t xml:space="preserve">量必须达到合格，凡非因采购方责任，经验收达不到合格要求，必须返工到合格并承担因返工引起的一切经济损失。</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6、伴随服务：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成交单位除应履行按期按量交付合格的工程及设备、材料的义务之外，还应提供下列服务：</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（1）设备的现场安装、启动、调试、监督（如果必须安装、调试的话）。</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（2）除合同另有约定之外，伴随服务的费用均已含在合同价款中，采购方不再另行进行支付。</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7、成交单位应当办理有关施工现场交通、环卫、施工噪声等管理手续，若发生费用由成交单位负责。</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8、工程未交付之前，成交单位应自始至终对成品进行保护和防止丢失。</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保密要求：成交单位负责对采购单位所提供资料的保密，成交单位及成交单位工作人员需遵守采购方的保密规定，不以任何形式将收集的所有资料、数据等进行泄漏、传播。否则采购方有权追究成交单位相关法律责任。</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成交单位需严格按采购文件规定的要求完成项目的全部工作内容，成交单位应严格遵守服务合约。项目在实施及完成以后，如采购方有需要成交单位配合的服务，成交单位须予以配合，协助采购方完善项目内容。</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知识产权：成交单位应能保证所提供服务涉及到的知识产权是合法取得，并享有完整的知识产权，不会因为采购单位的使用而被责令停止使用、追偿或要求赔偿损失，如出现此情况，一切经济和法律责任均由成交单位承担。成交单位应保证采购单位免除且成交单位承担由于采购单位在其本国使用该项目或项目任何一部分时而引起第三方提出的侵犯专利权、商标权或工业设计权的起诉、行动、行政程序索赔、请求等以及采购单位为此而产生的损失和损害、费用和支出（包括律师费）。</w:t>
      </w:r>
      <w:r/>
    </w:p>
    <w:p>
      <w:pPr>
        <w:ind w:firstLine="482"/>
        <w:spacing w:line="360" w:lineRule="auto"/>
        <w:tabs>
          <w:tab w:val="left"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三、政府采购政策：</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（一）中小企业相关政策</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本采购标的对应的中小企业划分标准所属行业为：建筑业。</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8、残疾人福利性单位</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9、监狱企业</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10、若为专门面向中小企业采购的项目或者采购包，不再执行价格评审优惠的扶持政策。</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（二）节能产品和环境标志产品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四、凡涉及采购文件的补充说明和修改，均以苏州市政府采购网发布的文件为准。</w:t>
      </w:r>
      <w:r/>
    </w:p>
    <w:p>
      <w:pPr>
        <w:pStyle w:val="822"/>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br w:type="page" w:clear="all"/>
      </w:r>
      <w:bookmarkStart w:id="50" w:name="_Toc17350"/>
      <w:r/>
      <w:bookmarkStart w:id="51" w:name="_Toc49246288"/>
      <w:r/>
      <w:r/>
    </w:p>
    <w:p>
      <w:pPr>
        <w:pStyle w:val="822"/>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822"/>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82"/>
        <w:rPr>
          <w:rFonts w:hint="eastAsia"/>
          <w:color w:val="auto"/>
          <w:highlight w:val="none"/>
        </w:rPr>
      </w:pPr>
      <w:r>
        <w:rPr>
          <w:rFonts w:hint="eastAsia"/>
          <w:color w:val="auto"/>
          <w:highlight w:val="none"/>
        </w:rPr>
      </w:r>
      <w:r/>
    </w:p>
    <w:p>
      <w:pPr>
        <w:pStyle w:val="822"/>
        <w:jc w:val="center"/>
        <w:keepLines w:val="0"/>
        <w:keepNext w:val="0"/>
        <w:spacing w:line="579" w:lineRule="auto"/>
        <w:rPr>
          <w:rStyle w:val="748"/>
          <w:rFonts w:hint="eastAsia" w:ascii="宋体" w:hAnsi="宋体" w:eastAsia="宋体" w:cs="宋体"/>
          <w:color w:val="auto"/>
          <w:sz w:val="52"/>
          <w:highlight w:val="none"/>
        </w:rPr>
        <w:outlineLvl w:val="0"/>
      </w:pPr>
      <w:r/>
      <w:bookmarkStart w:id="52" w:name="_Toc11037"/>
      <w:r>
        <w:rPr>
          <w:rStyle w:val="748"/>
          <w:rFonts w:hint="eastAsia" w:ascii="宋体" w:hAnsi="宋体" w:eastAsia="宋体" w:cs="宋体"/>
          <w:color w:val="auto"/>
          <w:sz w:val="52"/>
          <w:highlight w:val="none"/>
        </w:rPr>
        <w:t xml:space="preserve">第五章 合同主要条款</w:t>
      </w:r>
      <w:bookmarkEnd w:id="50"/>
      <w:r/>
      <w:bookmarkEnd w:id="51"/>
      <w:r/>
      <w:bookmarkEnd w:id="52"/>
      <w:r/>
      <w:r/>
    </w:p>
    <w:p>
      <w:pPr>
        <w:jc w:val="center"/>
        <w:spacing w:line="360" w:lineRule="auto"/>
        <w:tabs>
          <w:tab w:val="left" w:pos="8930" w:leader="none"/>
          <w:tab w:val="left" w:pos="9306" w:leader="none"/>
        </w:tabs>
        <w:rPr>
          <w:rStyle w:val="809"/>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30"/>
          <w:szCs w:val="30"/>
          <w:highlight w:val="none"/>
        </w:rPr>
        <w:t xml:space="preserve">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建设工程施工合同</w:t>
      </w:r>
      <w:r/>
    </w:p>
    <w:p>
      <w:pPr>
        <w:pStyle w:val="689"/>
        <w:rPr>
          <w:rFonts w:hint="eastAsia" w:ascii="宋体" w:hAnsi="宋体" w:cs="宋体"/>
          <w:color w:val="auto"/>
          <w:highlight w:val="none"/>
        </w:rPr>
      </w:pPr>
      <w:r>
        <w:rPr>
          <w:rFonts w:hint="eastAsia" w:ascii="宋体" w:hAnsi="宋体" w:cs="宋体"/>
          <w:color w:val="auto"/>
          <w:highlight w:val="none"/>
        </w:rPr>
      </w:r>
      <w:r/>
    </w:p>
    <w:p>
      <w:pPr>
        <w:pStyle w:val="689"/>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适用范围：工程造价为政府采购限额以上、公开招标限额以下</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采购方式：政府采购（小额工程）</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资金来源：财政资金</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计价方式：固定综合单价</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合同版本号：SSTT004-GC-20210201</w:t>
      </w:r>
      <w:r/>
    </w:p>
    <w:p>
      <w:pPr>
        <w:jc w:val="left"/>
        <w:widowControl/>
        <w:rPr>
          <w:rFonts w:hint="eastAsia" w:ascii="宋体" w:hAnsi="宋体" w:cs="宋体"/>
          <w:b/>
          <w:color w:val="auto"/>
          <w:szCs w:val="22"/>
          <w:highlight w:val="none"/>
        </w:rPr>
      </w:pPr>
      <w:r>
        <w:rPr>
          <w:rFonts w:hint="eastAsia" w:ascii="宋体" w:hAnsi="宋体" w:cs="宋体"/>
          <w:b/>
          <w:color w:val="auto"/>
          <w:szCs w:val="22"/>
          <w:highlight w:val="none"/>
        </w:rPr>
      </w:r>
      <w:r/>
    </w:p>
    <w:p>
      <w:pPr>
        <w:rPr>
          <w:rFonts w:hint="eastAsia" w:ascii="宋体" w:hAnsi="宋体" w:cs="宋体"/>
          <w:b/>
          <w:color w:val="auto"/>
          <w:szCs w:val="22"/>
          <w:highlight w:val="none"/>
        </w:rPr>
      </w:pPr>
      <w:r>
        <w:rPr>
          <w:rFonts w:hint="eastAsia" w:ascii="宋体" w:hAnsi="宋体" w:cs="宋体"/>
          <w:b/>
          <w:color w:val="auto"/>
          <w:szCs w:val="22"/>
          <w:highlight w:val="none"/>
        </w:rPr>
        <w:br w:type="page" w:clear="all"/>
      </w:r>
      <w:r/>
    </w:p>
    <w:p>
      <w:pPr>
        <w:jc w:val="center"/>
        <w:spacing w:line="500" w:lineRule="exact"/>
        <w:rPr>
          <w:rFonts w:hint="eastAsia" w:ascii="宋体" w:hAnsi="宋体" w:cs="宋体"/>
          <w:b/>
          <w:bCs/>
          <w:color w:val="auto"/>
          <w:spacing w:val="80"/>
          <w:sz w:val="44"/>
          <w:szCs w:val="44"/>
          <w:highlight w:val="none"/>
        </w:rPr>
      </w:pPr>
      <w:r>
        <w:rPr>
          <w:rFonts w:hint="eastAsia" w:ascii="宋体" w:hAnsi="宋体" w:cs="宋体"/>
          <w:b/>
          <w:bCs/>
          <w:color w:val="auto"/>
          <w:spacing w:val="80"/>
          <w:sz w:val="44"/>
          <w:szCs w:val="44"/>
          <w:highlight w:val="none"/>
        </w:rPr>
        <w:t xml:space="preserve">建筑工程施工合同</w:t>
      </w:r>
      <w:r/>
    </w:p>
    <w:p>
      <w:pPr>
        <w:jc w:val="center"/>
        <w:spacing w:line="500" w:lineRule="exact"/>
        <w:rPr>
          <w:rFonts w:hint="eastAsia" w:ascii="宋体" w:hAnsi="宋体" w:cs="宋体"/>
          <w:b/>
          <w:bCs/>
          <w:color w:val="auto"/>
          <w:spacing w:val="80"/>
          <w:szCs w:val="21"/>
          <w:highlight w:val="none"/>
        </w:rPr>
      </w:pPr>
      <w:r>
        <w:rPr>
          <w:rFonts w:hint="eastAsia" w:ascii="宋体" w:hAnsi="宋体" w:cs="宋体"/>
          <w:b/>
          <w:bCs/>
          <w:color w:val="auto"/>
          <w:spacing w:val="80"/>
          <w:szCs w:val="21"/>
          <w:highlight w:val="none"/>
        </w:rPr>
      </w:r>
      <w:r/>
    </w:p>
    <w:p>
      <w:pPr>
        <w:ind w:left="1"/>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发  包  方：</w:t>
      </w:r>
      <w:r>
        <w:rPr>
          <w:rFonts w:hint="eastAsia" w:ascii="宋体" w:hAnsi="宋体" w:cs="宋体"/>
          <w:b/>
          <w:i/>
          <w:iCs/>
          <w:color w:val="auto"/>
          <w:szCs w:val="21"/>
          <w:highlight w:val="none"/>
          <w:u w:val="single"/>
        </w:rPr>
        <w:t xml:space="preserve"> 单击此处输入文字。 </w:t>
      </w:r>
      <w:r>
        <w:rPr>
          <w:rFonts w:hint="eastAsia" w:ascii="宋体" w:hAnsi="宋体" w:cs="宋体"/>
          <w:b/>
          <w:color w:val="auto"/>
          <w:szCs w:val="21"/>
          <w:highlight w:val="none"/>
        </w:rPr>
        <w:t xml:space="preserve">（以下简称“甲方”）</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TW"/>
        </w:rPr>
        <w:t xml:space="preserve">地      址：</w:t>
      </w:r>
      <w:r>
        <w:rPr>
          <w:rFonts w:hint="eastAsia" w:ascii="宋体" w:hAnsi="宋体" w:cs="宋体"/>
          <w:b/>
          <w:i/>
          <w:iCs/>
          <w:color w:val="auto"/>
          <w:szCs w:val="21"/>
          <w:highlight w:val="none"/>
          <w:u w:val="single"/>
        </w:rPr>
        <w:t xml:space="preserve">单击此处输入文字。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TW"/>
        </w:rPr>
        <w:t xml:space="preserve">联  系  人：</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lang w:eastAsia="zh-TW"/>
        </w:rPr>
        <w:t xml:space="preserve">联系电话：</w:t>
      </w:r>
      <w:r>
        <w:rPr>
          <w:rFonts w:hint="eastAsia" w:ascii="宋体" w:hAnsi="宋体" w:cs="宋体"/>
          <w:b/>
          <w:i/>
          <w:iCs/>
          <w:color w:val="auto"/>
          <w:szCs w:val="21"/>
          <w:highlight w:val="none"/>
          <w:u w:val="single"/>
        </w:rPr>
        <w:t xml:space="preserve"> 单击此处输入文字。 </w:t>
      </w:r>
      <w:r/>
    </w:p>
    <w:p>
      <w:pPr>
        <w:spacing w:line="400" w:lineRule="exact"/>
        <w:tabs>
          <w:tab w:val="left" w:pos="3780" w:leader="none"/>
        </w:tabs>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承  包  方：</w:t>
      </w:r>
      <w:r>
        <w:rPr>
          <w:rFonts w:hint="eastAsia" w:ascii="宋体" w:hAnsi="宋体" w:cs="宋体"/>
          <w:b/>
          <w:i/>
          <w:iCs/>
          <w:color w:val="auto"/>
          <w:szCs w:val="21"/>
          <w:highlight w:val="none"/>
          <w:u w:val="single"/>
        </w:rPr>
        <w:t xml:space="preserve"> 单击此处输入文字。 </w:t>
      </w:r>
      <w:r>
        <w:rPr>
          <w:rFonts w:hint="eastAsia" w:ascii="宋体" w:hAnsi="宋体" w:cs="宋体"/>
          <w:b/>
          <w:color w:val="auto"/>
          <w:szCs w:val="21"/>
          <w:highlight w:val="none"/>
        </w:rPr>
        <w:t xml:space="preserve">（以下简称“乙方”）</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TW"/>
        </w:rPr>
        <w:t xml:space="preserve">地      址：</w:t>
      </w:r>
      <w:r>
        <w:rPr>
          <w:rFonts w:hint="eastAsia" w:ascii="宋体" w:hAnsi="宋体" w:cs="宋体"/>
          <w:b/>
          <w:i/>
          <w:iCs/>
          <w:color w:val="auto"/>
          <w:szCs w:val="21"/>
          <w:highlight w:val="none"/>
          <w:u w:val="single"/>
        </w:rPr>
        <w:t xml:space="preserve"> 单击此处输入文字。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TW"/>
        </w:rPr>
        <w:t xml:space="preserve">联  系  人：</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lang w:eastAsia="zh-TW"/>
        </w:rPr>
        <w:t xml:space="preserve">联系电话：</w:t>
      </w:r>
      <w:r>
        <w:rPr>
          <w:rFonts w:hint="eastAsia" w:ascii="宋体" w:hAnsi="宋体" w:cs="宋体"/>
          <w:b/>
          <w:i/>
          <w:iCs/>
          <w:color w:val="auto"/>
          <w:szCs w:val="21"/>
          <w:highlight w:val="none"/>
          <w:u w:val="single"/>
        </w:rPr>
        <w:t xml:space="preserve"> 单击此处输入文字。 </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rPr>
        <w:t xml:space="preserve">（招标代理机构）采购编号</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rPr>
        <w:t xml:space="preserve">号政府采购文件及中标单位的响应文件和中标通知书，甲乙双方根据《中华人民共和国民法典》、《中华人民共和国政府采购法》及有关法律、法规的规定，遵循平等自愿、公平和诚实信用的原则，就</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rPr>
        <w:t xml:space="preserve">工程施工及有关事项协商一致，共同达成如下协议：</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第一条  工程概况</w:t>
      </w:r>
      <w:r/>
    </w:p>
    <w:p>
      <w:pPr>
        <w:numPr>
          <w:ilvl w:val="0"/>
          <w:numId w:val="2"/>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工程名称：</w:t>
      </w:r>
      <w:r>
        <w:rPr>
          <w:rFonts w:hint="eastAsia" w:ascii="宋体" w:hAnsi="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工程地点：</w:t>
      </w:r>
      <w:r>
        <w:rPr>
          <w:rFonts w:hint="eastAsia" w:ascii="宋体" w:hAnsi="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工程内容：</w:t>
      </w:r>
      <w:r>
        <w:rPr>
          <w:rFonts w:hint="eastAsia" w:ascii="宋体" w:hAnsi="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工程立项批准文号：</w:t>
      </w:r>
      <w:r>
        <w:rPr>
          <w:rFonts w:hint="eastAsia" w:ascii="宋体" w:hAnsi="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工程承包范围：</w:t>
      </w:r>
      <w:r>
        <w:rPr>
          <w:rFonts w:hint="eastAsia" w:ascii="宋体" w:hAnsi="宋体" w:cs="宋体"/>
          <w:b/>
          <w:i/>
          <w:iCs/>
          <w:color w:val="auto"/>
          <w:szCs w:val="21"/>
          <w:highlight w:val="none"/>
          <w:u w:val="single"/>
        </w:rPr>
        <w:t xml:space="preserve"> 单击此处输入文字。 </w:t>
      </w:r>
      <w:r/>
    </w:p>
    <w:p>
      <w:pPr>
        <w:numPr>
          <w:ilvl w:val="0"/>
          <w:numId w:val="2"/>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承包方式：</w:t>
      </w:r>
      <w:r>
        <w:rPr>
          <w:rFonts w:hint="eastAsia" w:ascii="宋体" w:hAnsi="宋体" w:cs="宋体"/>
          <w:b/>
          <w:i/>
          <w:iCs/>
          <w:color w:val="auto"/>
          <w:szCs w:val="21"/>
          <w:highlight w:val="none"/>
          <w:u w:val="single"/>
        </w:rPr>
        <w:t xml:space="preserve"> 单击此处输入文字。 </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第二条  甲乙双方的权利义务</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甲方指派</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rPr>
        <w:t xml:space="preserve">为甲方驻工地代表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负责本合同的履行，对工程质量、进度进行监督检查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办理验收、变更、登记手续和其他事宜。乙方指派</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rPr>
        <w:t xml:space="preserve">为乙方驻工地代表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负责合同履行，按要求组织施工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保质、保量、按期完成施工任务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解决由乙方负责的各项事宜。</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施工过程中及保修期内，甲方有权对工程质量、施工进度等进行监督、检查。工程质量不符合合同要求的，无论是否实际移交，甲方均有权要求乙方返工或修复。</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乙方应严格按照《工程量清单》及工程设计图纸等约定的工程项目明细进行施工。未经甲方书面同意，乙方不得擅自变更施工方案。</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乙方必须持续拥有实施本工程所应具备的资质。参加施工的人员必须经专业培训，持证上岗。</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numPr>
          <w:ilvl w:val="0"/>
          <w:numId w:val="3"/>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工程竣工未移交甲方之前，乙方负责对现场的一切设施和工程成品进行保护。</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第三条  关于工期的约定</w:t>
      </w:r>
      <w:r/>
    </w:p>
    <w:p>
      <w:pPr>
        <w:numPr>
          <w:ilvl w:val="0"/>
          <w:numId w:val="4"/>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本工程工期</w:t>
      </w:r>
      <w:r>
        <w:rPr>
          <w:rFonts w:hint="eastAsia" w:ascii="宋体" w:hAnsi="宋体" w:cs="宋体"/>
          <w:color w:val="auto"/>
          <w:szCs w:val="21"/>
          <w:highlight w:val="none"/>
          <w:u w:val="single"/>
        </w:rPr>
        <w:t xml:space="preserve"> </w:t>
      </w:r>
      <w:r>
        <w:rPr>
          <w:rFonts w:hint="eastAsia" w:ascii="宋体" w:hAnsi="宋体" w:cs="宋体"/>
          <w:b/>
          <w:bCs/>
          <w:i/>
          <w:iCs/>
          <w:color w:val="auto"/>
          <w:szCs w:val="21"/>
          <w:highlight w:val="none"/>
          <w:u w:val="single"/>
        </w:rPr>
        <w:t xml:space="preserve"> 单击此处输入文字。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天。拟于</w:t>
      </w:r>
      <w:r>
        <w:rPr>
          <w:rFonts w:hint="eastAsia" w:ascii="宋体" w:hAnsi="宋体" w:cs="宋体"/>
          <w:b/>
          <w:bCs/>
          <w:i/>
          <w:iCs/>
          <w:color w:val="auto"/>
          <w:szCs w:val="21"/>
          <w:highlight w:val="none"/>
          <w:u w:val="single"/>
        </w:rPr>
        <w:t xml:space="preserve"> 单击此处输入日期。</w:t>
      </w:r>
      <w:r>
        <w:rPr>
          <w:rFonts w:hint="eastAsia" w:ascii="宋体" w:hAnsi="宋体" w:cs="宋体"/>
          <w:color w:val="auto"/>
          <w:szCs w:val="21"/>
          <w:highlight w:val="none"/>
        </w:rPr>
        <w:t xml:space="preserve">开工，</w:t>
      </w:r>
      <w:r>
        <w:rPr>
          <w:rFonts w:hint="eastAsia" w:ascii="宋体" w:hAnsi="宋体" w:cs="宋体"/>
          <w:b/>
          <w:bCs/>
          <w:i/>
          <w:iCs/>
          <w:color w:val="auto"/>
          <w:szCs w:val="21"/>
          <w:highlight w:val="none"/>
          <w:u w:val="single"/>
        </w:rPr>
        <w:t xml:space="preserve"> 单击此处输入日期。</w:t>
      </w:r>
      <w:r>
        <w:rPr>
          <w:rFonts w:hint="eastAsia" w:ascii="宋体" w:hAnsi="宋体" w:cs="宋体"/>
          <w:color w:val="auto"/>
          <w:szCs w:val="21"/>
          <w:highlight w:val="none"/>
        </w:rPr>
        <w:t xml:space="preserve">竣工，具体以甲方通知为准。</w:t>
      </w:r>
      <w:r/>
    </w:p>
    <w:p>
      <w:pPr>
        <w:numPr>
          <w:ilvl w:val="0"/>
          <w:numId w:val="4"/>
        </w:numPr>
        <w:spacing w:line="40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甲方要求比合同约定的工期提前竣工时，乙方应尊重甲方的要求并及时调整施工方案和进度，配合甲方工作的开展。</w:t>
      </w:r>
      <w:r/>
    </w:p>
    <w:p>
      <w:pPr>
        <w:numPr>
          <w:ilvl w:val="0"/>
          <w:numId w:val="4"/>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工期相应顺延。</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第四条 </w:t>
      </w:r>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 xml:space="preserve">设计、变更</w:t>
      </w:r>
      <w:r/>
    </w:p>
    <w:p>
      <w:pPr>
        <w:numPr>
          <w:ilvl w:val="0"/>
          <w:numId w:val="5"/>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负责设计的一方应于开工7日前提供满足施工需要的设计图纸及技术文件送对方当事人审批，经对方当事人审批通过的设计图纸及技术资料作为本合同附件。</w:t>
      </w:r>
      <w:r/>
    </w:p>
    <w:p>
      <w:pPr>
        <w:numPr>
          <w:ilvl w:val="0"/>
          <w:numId w:val="5"/>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甲方要求变更设计时，应在该分部或分项工程施工3日前通知乙方。乙方应立即停止对涉及部分的施工及准备活动。如该工程已经完工，因设计变更造成乙方返工的损失，由甲方承担。</w:t>
      </w:r>
      <w:r/>
    </w:p>
    <w:p>
      <w:pPr>
        <w:numPr>
          <w:ilvl w:val="0"/>
          <w:numId w:val="5"/>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设计变更应由甲方代表办理洽商确认手续，乙方应相应变更施工进度计划，调整工程价款（如涉及），送甲方批准。</w:t>
      </w:r>
      <w:r/>
    </w:p>
    <w:p>
      <w:pPr>
        <w:numPr>
          <w:ilvl w:val="0"/>
          <w:numId w:val="5"/>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涉及设计变更的，设计图纸提供方应向对方提供变更设计图纸及材料样品或者明确的说明，用作计价及施工依据。</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第五条  材料供应</w:t>
      </w:r>
      <w:r/>
    </w:p>
    <w:p>
      <w:pPr>
        <w:numPr>
          <w:ilvl w:val="0"/>
          <w:numId w:val="6"/>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本工程为包工包料合同。施工所需的各项设施设备、主料、辅料等均有乙方自行采购和提供。</w:t>
      </w:r>
      <w:r/>
    </w:p>
    <w:p>
      <w:pPr>
        <w:numPr>
          <w:ilvl w:val="0"/>
          <w:numId w:val="6"/>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第六条  关于工程质量及验收的约定</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本工程以施工图纸、施工工艺说明、设计变更和《建筑装饰装修工程施工质量验收规范》(GB50210-2001)、《建筑工程施工质量验收统一标准》(GB50300-2013)等施工及验收规范</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标准为质量评定验收标准。</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本工程质量应达到国家质量评定合格标准。</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甲、乙双方应及时办理隐蔽工程和中间工程的检查与验收手续。隐蔽工程和中间工程未经甲方验收通过的，乙方不得擅自进入下一施工阶段。</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工程竣工后具备竣工验收条件的，乙方应按国家竣工验收的有关规定通知甲方验收，甲方自接到通知后</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日内组织验收，经验收合格后办理移交手续。在任何情况下，乙方不得以工程结算尚未完成等理由拒绝移交工程，否则，按照本合同第8.2条约定承担违约责任。</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本工程缺陷责任期为</w:t>
      </w:r>
      <w:r>
        <w:rPr>
          <w:rFonts w:hint="eastAsia" w:ascii="宋体" w:hAnsi="宋体" w:cs="宋体"/>
          <w:b/>
          <w:i/>
          <w:iCs/>
          <w:color w:val="auto"/>
          <w:szCs w:val="21"/>
          <w:highlight w:val="none"/>
          <w:u w:val="single"/>
        </w:rPr>
        <w:t xml:space="preserve"> 单击此处输入文字。 </w:t>
      </w:r>
      <w:r>
        <w:rPr>
          <w:rFonts w:hint="eastAsia" w:ascii="宋体" w:hAnsi="宋体" w:cs="宋体"/>
          <w:color w:val="auto"/>
          <w:szCs w:val="21"/>
          <w:highlight w:val="none"/>
        </w:rPr>
        <w:t xml:space="preserve">年，质量保修期按照国家规定执行，均自工程竣工验收合格之日起算。工程质保金为竣工结算金额的</w:t>
      </w:r>
      <w:r>
        <w:rPr>
          <w:rFonts w:hint="eastAsia" w:ascii="宋体" w:hAnsi="宋体" w:cs="宋体"/>
          <w:b/>
          <w:bCs/>
          <w:color w:val="auto"/>
          <w:szCs w:val="21"/>
          <w:highlight w:val="none"/>
          <w:u w:val="single"/>
        </w:rPr>
        <w:t xml:space="preserve"> 3 %</w:t>
      </w:r>
      <w:r>
        <w:rPr>
          <w:rFonts w:hint="eastAsia" w:ascii="宋体" w:hAnsi="宋体" w:cs="宋体"/>
          <w:color w:val="auto"/>
          <w:szCs w:val="21"/>
          <w:highlight w:val="none"/>
        </w:rPr>
        <w:t xml:space="preserve">。保修期届满前，乙方须对工程进行全面检查，使本工程达到合同所要求的条件及甲方认为合格的程度。</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第七条  关于工程价款及结算的约定</w:t>
      </w:r>
      <w:r/>
    </w:p>
    <w:p>
      <w:pPr>
        <w:numPr>
          <w:ilvl w:val="0"/>
          <w:numId w:val="8"/>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本合同采用固定综合单价、工程量据实结算的方式。</w:t>
      </w:r>
      <w:r/>
    </w:p>
    <w:p>
      <w:pPr>
        <w:numPr>
          <w:ilvl w:val="0"/>
          <w:numId w:val="8"/>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本工程中标金额为人民币</w:t>
      </w:r>
      <w:r>
        <w:rPr>
          <w:rFonts w:hint="eastAsia" w:ascii="宋体" w:hAnsi="宋体" w:cs="宋体"/>
          <w:b/>
          <w:i/>
          <w:iCs/>
          <w:color w:val="auto"/>
          <w:szCs w:val="21"/>
          <w:highlight w:val="none"/>
          <w:u w:val="single"/>
        </w:rPr>
        <w:t xml:space="preserve"> 单击此处输入文字。 </w:t>
      </w:r>
      <w:r>
        <w:rPr>
          <w:rFonts w:hint="eastAsia" w:ascii="宋体" w:hAnsi="宋体" w:cs="宋体"/>
          <w:b/>
          <w:color w:val="auto"/>
          <w:szCs w:val="21"/>
          <w:highlight w:val="none"/>
          <w:u w:val="single"/>
        </w:rPr>
        <w:t xml:space="preserve">元</w:t>
      </w:r>
      <w:r>
        <w:rPr>
          <w:rFonts w:hint="eastAsia" w:ascii="宋体" w:hAnsi="宋体" w:cs="宋体"/>
          <w:color w:val="auto"/>
          <w:szCs w:val="21"/>
          <w:highlight w:val="none"/>
        </w:rPr>
        <w:t xml:space="preserve">（小写 ￥</w:t>
      </w:r>
      <w:r>
        <w:rPr>
          <w:rFonts w:hint="eastAsia" w:ascii="宋体" w:hAnsi="宋体" w:cs="宋体"/>
          <w:b/>
          <w:i/>
          <w:iCs/>
          <w:color w:val="auto"/>
          <w:szCs w:val="21"/>
          <w:highlight w:val="none"/>
          <w:u w:val="single"/>
        </w:rPr>
        <w:t xml:space="preserve"> 单击此处输入文字。 </w:t>
      </w:r>
      <w:r>
        <w:rPr>
          <w:rFonts w:hint="eastAsia" w:ascii="宋体" w:hAnsi="宋体" w:cs="宋体"/>
          <w:b/>
          <w:bCs/>
          <w:color w:val="auto"/>
          <w:szCs w:val="21"/>
          <w:highlight w:val="none"/>
          <w:u w:val="single"/>
        </w:rPr>
        <w:t xml:space="preserve">元</w:t>
      </w:r>
      <w:r>
        <w:rPr>
          <w:rFonts w:hint="eastAsia" w:ascii="宋体" w:hAnsi="宋体" w:cs="宋体"/>
          <w:color w:val="auto"/>
          <w:szCs w:val="21"/>
          <w:highlight w:val="none"/>
        </w:rPr>
        <w:t xml:space="preserve">），详见附件之报价单。甲乙双方最终以审定价结算。但因工程量偏差或工程变更而追加的费用不得超过中标金额的10%，超过部分甲方不予结算，且原中标金额10%以内的追加费用仅限于原合同内工程清单数量调整增加的工程费用，原合同外内容不计入。</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乙方应在工程竣工验收合格后90天内按甲方要求提交完整的竣工结算申请资料。如无重大争议，甲方将在收到乙方提交的完整竣工结算申请资料后三个月内完成结算审核。如中介审核核减率超7%，超过部分的核减和核增的造价咨询费由乙方直接支付给咨询单位。</w:t>
      </w:r>
      <w:r/>
    </w:p>
    <w:p>
      <w:pPr>
        <w:numPr>
          <w:ilvl w:val="0"/>
          <w:numId w:val="8"/>
        </w:num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本工程无预付款。工程款按照以下第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种方式支付：</w:t>
      </w:r>
      <w:r/>
    </w:p>
    <w:p>
      <w:pPr>
        <w:numPr>
          <w:ilvl w:val="0"/>
          <w:numId w:val="9"/>
        </w:num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工程竣工验收合格且结算审核完成后60日内支付至审定价的97%，剩余3%的工程款作为质保金在缺陷责任期满后60日内一次性付清。</w:t>
      </w:r>
      <w:r/>
    </w:p>
    <w:p>
      <w:pPr>
        <w:numPr>
          <w:ilvl w:val="0"/>
          <w:numId w:val="9"/>
        </w:num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程竣工验收合格并办理完成工程移交手续后60日内，支付至已完成的工程量清单范围内的合格工程量的70%；工程竣工结算审核完结后60日内，支付至审定价的80%；竣工验收合格满一年后60日内，支付至审定价的90%；缺陷责任期满后60日内付清尾款。</w:t>
      </w:r>
      <w:r/>
    </w:p>
    <w:p>
      <w:pPr>
        <w:numPr>
          <w:ilvl w:val="0"/>
          <w:numId w:val="9"/>
        </w:num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其他方式：</w:t>
      </w:r>
      <w:r>
        <w:rPr>
          <w:rFonts w:hint="eastAsia" w:ascii="宋体" w:hAnsi="宋体" w:cs="宋体"/>
          <w:b/>
          <w:i/>
          <w:iCs/>
          <w:color w:val="auto"/>
          <w:szCs w:val="21"/>
          <w:highlight w:val="none"/>
          <w:u w:val="single"/>
        </w:rPr>
        <w:t xml:space="preserve"> 单击此处输入文字。 </w:t>
      </w:r>
      <w:r/>
    </w:p>
    <w:p>
      <w:pPr>
        <w:numPr>
          <w:ilvl w:val="0"/>
          <w:numId w:val="8"/>
        </w:num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付款前，承包人应提供合法有效的增值税发票、付款申请以及按照本合同约定和发包人要求提供的其他文件，否则，发包人有权拒付。</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第八条  违约责任</w:t>
      </w:r>
      <w:r/>
    </w:p>
    <w:p>
      <w:pPr>
        <w:numPr>
          <w:ilvl w:val="0"/>
          <w:numId w:val="10"/>
        </w:numPr>
        <w:spacing w:before="93" w:after="93"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甲方无正当理由未按合同约定付款的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每延期一天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按逾期未付金额的万分之二支付违约金。</w:t>
      </w:r>
      <w:r/>
    </w:p>
    <w:p>
      <w:pPr>
        <w:numPr>
          <w:ilvl w:val="0"/>
          <w:numId w:val="10"/>
        </w:numPr>
        <w:spacing w:before="93" w:after="93"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由于乙方原因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不能按期开工或中途无故停工或因工程质量问题甲方验收不合格的，工期不予顺延。同时，每逾期完工一天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乙方应承担合同总价万分之二的违约金。如延误工期达10日以上的，甲方有权解除本合同，并要求乙方承担合同总价20%的违约金。</w:t>
      </w:r>
      <w:r/>
    </w:p>
    <w:p>
      <w:pPr>
        <w:numPr>
          <w:ilvl w:val="0"/>
          <w:numId w:val="10"/>
        </w:numPr>
        <w:spacing w:before="93" w:after="93"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numPr>
          <w:ilvl w:val="0"/>
          <w:numId w:val="10"/>
        </w:numPr>
        <w:spacing w:before="93" w:after="93"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如乙方发生人身安全事故、拖欠民工工资、擅自转包或分包、项目经理或主要负责人擅自离岗、拒不服从甲方指令、发生阻工闹事等情形之一的，乙方应向甲方支付合同总价5%的违约金。</w:t>
      </w:r>
      <w:r/>
    </w:p>
    <w:p>
      <w:pPr>
        <w:numPr>
          <w:ilvl w:val="0"/>
          <w:numId w:val="10"/>
        </w:numPr>
        <w:spacing w:before="93" w:after="93"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numPr>
          <w:ilvl w:val="0"/>
          <w:numId w:val="10"/>
        </w:numPr>
        <w:spacing w:before="93" w:after="93"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p>
    <w:p>
      <w:pPr>
        <w:numPr>
          <w:ilvl w:val="0"/>
          <w:numId w:val="10"/>
        </w:numPr>
        <w:spacing w:before="93" w:after="93"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乙方违反本合同约定应向甲方支付的各项违约金、赔偿款等费用，甲方有权直接从应付工程款中扣除。</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第九条  不可抗力</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第十条  通知和送达</w:t>
      </w:r>
      <w:r/>
    </w:p>
    <w:p>
      <w:pPr>
        <w:numPr>
          <w:ilvl w:val="0"/>
          <w:numId w:val="11"/>
        </w:numPr>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合同各方一致确认以下通讯地址和联系方式为各方履行合同、解决合同争议时向接收其他方商业文件信函或司法机关(法院、仲裁机构)诉讼、仲裁文书的送达地址和联系方式：</w:t>
      </w:r>
      <w:r/>
    </w:p>
    <w:p>
      <w:pPr>
        <w:ind w:left="420"/>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发包方送达地址和联系方式为：</w:t>
      </w:r>
      <w:r/>
    </w:p>
    <w:p>
      <w:pPr>
        <w:ind w:left="420"/>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地址：</w:t>
      </w:r>
      <w:r>
        <w:rPr>
          <w:rFonts w:hint="eastAsia" w:ascii="宋体" w:hAnsi="宋体" w:cs="宋体"/>
          <w:b/>
          <w:i/>
          <w:color w:val="auto"/>
          <w:szCs w:val="21"/>
          <w:highlight w:val="none"/>
          <w:u w:val="single"/>
        </w:rPr>
        <w:t xml:space="preserve"> 单击此处输入文字。 </w:t>
      </w:r>
      <w:r/>
    </w:p>
    <w:p>
      <w:pPr>
        <w:ind w:left="420"/>
        <w:spacing w:line="400" w:lineRule="exact"/>
        <w:rPr>
          <w:rFonts w:hint="eastAsia" w:ascii="宋体" w:hAnsi="宋体" w:cs="宋体"/>
          <w:b/>
          <w:i/>
          <w:color w:val="auto"/>
          <w:szCs w:val="21"/>
          <w:highlight w:val="none"/>
          <w:u w:val="single"/>
        </w:rPr>
      </w:pPr>
      <w:r>
        <w:rPr>
          <w:rFonts w:hint="eastAsia" w:ascii="宋体" w:hAnsi="宋体" w:cs="宋体"/>
          <w:color w:val="auto"/>
          <w:szCs w:val="21"/>
          <w:highlight w:val="none"/>
          <w:lang w:eastAsia="zh-TW"/>
        </w:rPr>
        <w:t xml:space="preserve">联系电话：</w:t>
      </w:r>
      <w:r>
        <w:rPr>
          <w:rFonts w:hint="eastAsia" w:ascii="宋体" w:hAnsi="宋体" w:cs="宋体"/>
          <w:b/>
          <w:i/>
          <w:color w:val="auto"/>
          <w:szCs w:val="21"/>
          <w:highlight w:val="none"/>
          <w:u w:val="single"/>
        </w:rPr>
        <w:t xml:space="preserve"> 单击此处输入文字。 </w:t>
      </w:r>
      <w:r>
        <w:rPr>
          <w:rFonts w:hint="eastAsia" w:ascii="宋体" w:hAnsi="宋体" w:cs="宋体"/>
          <w:color w:val="auto"/>
          <w:szCs w:val="21"/>
          <w:highlight w:val="none"/>
          <w:lang w:eastAsia="zh-TW"/>
        </w:rPr>
        <w:t xml:space="preserve"> 联系人：</w:t>
      </w:r>
      <w:r>
        <w:rPr>
          <w:rFonts w:hint="eastAsia" w:ascii="宋体" w:hAnsi="宋体" w:cs="宋体"/>
          <w:b/>
          <w:i/>
          <w:color w:val="auto"/>
          <w:szCs w:val="21"/>
          <w:highlight w:val="none"/>
          <w:u w:val="single"/>
        </w:rPr>
        <w:t xml:space="preserve"> 单击此处输入文字。 </w:t>
      </w:r>
      <w:r/>
    </w:p>
    <w:p>
      <w:pPr>
        <w:ind w:left="420"/>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承包方送达地址和联系方式为：</w:t>
      </w:r>
      <w:r/>
    </w:p>
    <w:p>
      <w:pPr>
        <w:ind w:left="420"/>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地址：</w:t>
      </w:r>
      <w:r>
        <w:rPr>
          <w:rFonts w:hint="eastAsia" w:ascii="宋体" w:hAnsi="宋体" w:cs="宋体"/>
          <w:b/>
          <w:i/>
          <w:color w:val="auto"/>
          <w:szCs w:val="21"/>
          <w:highlight w:val="none"/>
          <w:u w:val="single"/>
        </w:rPr>
        <w:t xml:space="preserve"> 单击此处输入文字。 </w:t>
      </w:r>
      <w:r/>
    </w:p>
    <w:p>
      <w:pPr>
        <w:ind w:left="420"/>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联系电话：</w:t>
      </w:r>
      <w:r>
        <w:rPr>
          <w:rFonts w:hint="eastAsia" w:ascii="宋体" w:hAnsi="宋体" w:cs="宋体"/>
          <w:b/>
          <w:i/>
          <w:color w:val="auto"/>
          <w:szCs w:val="21"/>
          <w:highlight w:val="none"/>
          <w:u w:val="single"/>
        </w:rPr>
        <w:t xml:space="preserve"> 单击此处输入文字。  </w:t>
      </w:r>
      <w:r>
        <w:rPr>
          <w:rFonts w:hint="eastAsia" w:ascii="宋体" w:hAnsi="宋体" w:cs="宋体"/>
          <w:color w:val="auto"/>
          <w:szCs w:val="21"/>
          <w:highlight w:val="none"/>
          <w:lang w:eastAsia="zh-TW"/>
        </w:rPr>
        <w:t xml:space="preserve">  联系人：</w:t>
      </w:r>
      <w:r>
        <w:rPr>
          <w:rFonts w:hint="eastAsia" w:ascii="宋体" w:hAnsi="宋体" w:cs="宋体"/>
          <w:b/>
          <w:i/>
          <w:color w:val="auto"/>
          <w:szCs w:val="21"/>
          <w:highlight w:val="none"/>
          <w:u w:val="single"/>
        </w:rPr>
        <w:t xml:space="preserve"> 单击此处输入文字。 </w:t>
      </w:r>
      <w:r/>
    </w:p>
    <w:p>
      <w:pPr>
        <w:ind w:left="420"/>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上述通讯地址和联系方式适用至本合同履行完毕或争议经过一审、二审至案件执行终结时止，除非各方依下款告知变更。</w:t>
      </w:r>
      <w:r/>
    </w:p>
    <w:p>
      <w:pPr>
        <w:numPr>
          <w:ilvl w:val="0"/>
          <w:numId w:val="11"/>
        </w:numPr>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cs="宋体"/>
          <w:color w:val="auto"/>
          <w:szCs w:val="21"/>
          <w:highlight w:val="none"/>
        </w:rPr>
        <w:t xml:space="preserve">。</w:t>
      </w:r>
      <w:r/>
    </w:p>
    <w:p>
      <w:pPr>
        <w:numPr>
          <w:ilvl w:val="0"/>
          <w:numId w:val="11"/>
        </w:numPr>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合同各方均承诺：上述确认的通讯地址和联系方式真实有效，如有错误，导致的商业信函和诉讼文书送达不能的法律后果由自己承担。</w:t>
      </w:r>
      <w:r/>
    </w:p>
    <w:p>
      <w:pPr>
        <w:numPr>
          <w:ilvl w:val="0"/>
          <w:numId w:val="11"/>
        </w:numPr>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第十一条  纠纷解决</w:t>
      </w:r>
      <w:r/>
    </w:p>
    <w:p>
      <w:pPr>
        <w:spacing w:line="40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凡因本合同引起的或与本合同有关的任何纠纷，甲乙双方应友好协商解决；协商不成的，双方同意向工程所在地有管辖权的</w:t>
      </w:r>
      <w:r>
        <w:rPr>
          <w:rFonts w:hint="eastAsia" w:ascii="宋体" w:hAnsi="宋体" w:cs="宋体"/>
          <w:color w:val="auto"/>
          <w:szCs w:val="21"/>
          <w:highlight w:val="none"/>
          <w:lang w:eastAsia="zh-TW"/>
        </w:rPr>
        <w:t xml:space="preserve">人民法院提起诉讼</w:t>
      </w:r>
      <w:r>
        <w:rPr>
          <w:rFonts w:hint="eastAsia" w:ascii="宋体" w:hAnsi="宋体" w:cs="宋体"/>
          <w:color w:val="auto"/>
          <w:szCs w:val="21"/>
          <w:highlight w:val="none"/>
        </w:rPr>
        <w:t xml:space="preserve">。</w:t>
      </w:r>
      <w:r/>
    </w:p>
    <w:p>
      <w:pPr>
        <w:spacing w:before="93" w:after="93"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第十二条  其他</w:t>
      </w:r>
      <w:r/>
    </w:p>
    <w:p>
      <w:pPr>
        <w:numPr>
          <w:ilvl w:val="0"/>
          <w:numId w:val="12"/>
        </w:numPr>
        <w:jc w:val="left"/>
        <w:spacing w:line="400" w:lineRule="exact"/>
        <w:rPr>
          <w:rFonts w:hint="eastAsia" w:ascii="宋体" w:hAnsi="宋体" w:cs="宋体"/>
          <w:b/>
          <w:color w:val="auto"/>
          <w:szCs w:val="21"/>
          <w:highlight w:val="none"/>
          <w:lang w:eastAsia="zh-TW"/>
        </w:rPr>
      </w:pPr>
      <w:r>
        <w:rPr>
          <w:rFonts w:hint="eastAsia" w:ascii="宋体" w:hAnsi="宋体" w:cs="宋体"/>
          <w:color w:val="auto"/>
          <w:szCs w:val="21"/>
          <w:highlight w:val="none"/>
          <w:lang w:eastAsia="zh-TW"/>
        </w:rPr>
        <w:t xml:space="preserve">除本合同另有约定外，对本合同的任何修改、变更均须以书面形式作出并经双方确认，本合同中未经修改的其他条款仍然有效。</w:t>
      </w:r>
      <w:r/>
    </w:p>
    <w:p>
      <w:pPr>
        <w:numPr>
          <w:ilvl w:val="0"/>
          <w:numId w:val="12"/>
        </w:numPr>
        <w:jc w:val="left"/>
        <w:spacing w:line="400" w:lineRule="exact"/>
        <w:rPr>
          <w:rFonts w:hint="eastAsia" w:ascii="宋体" w:hAnsi="宋体" w:cs="宋体"/>
          <w:b/>
          <w:color w:val="auto"/>
          <w:szCs w:val="21"/>
          <w:highlight w:val="none"/>
          <w:lang w:eastAsia="zh-TW"/>
        </w:rPr>
      </w:pPr>
      <w:r>
        <w:rPr>
          <w:rFonts w:hint="eastAsia" w:ascii="宋体" w:hAnsi="宋体" w:cs="宋体"/>
          <w:color w:val="auto"/>
          <w:szCs w:val="21"/>
          <w:highlight w:val="none"/>
          <w:lang w:eastAsia="zh-TW"/>
        </w:rPr>
        <w:t xml:space="preserve">本合同未尽事宜，甲、乙双方应参照科技城的商业惯例或行业的交易习惯或相关规定执行，并另行签署补充协议</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TW"/>
        </w:rPr>
        <w:t xml:space="preserve">该补充协议作为本合同不可分割的一部分，与本合同具有同等法律效力。</w:t>
      </w:r>
      <w:r/>
    </w:p>
    <w:p>
      <w:pPr>
        <w:numPr>
          <w:ilvl w:val="0"/>
          <w:numId w:val="12"/>
        </w:numPr>
        <w:jc w:val="left"/>
        <w:spacing w:line="400" w:lineRule="exact"/>
        <w:rPr>
          <w:rFonts w:hint="eastAsia" w:ascii="宋体" w:hAnsi="宋体" w:cs="宋体"/>
          <w:b/>
          <w:color w:val="auto"/>
          <w:szCs w:val="21"/>
          <w:highlight w:val="none"/>
          <w:lang w:eastAsia="zh-TW"/>
        </w:rPr>
      </w:pPr>
      <w:r>
        <w:rPr>
          <w:rFonts w:hint="eastAsia" w:ascii="宋体" w:hAnsi="宋体" w:cs="宋体"/>
          <w:color w:val="auto"/>
          <w:szCs w:val="21"/>
          <w:highlight w:val="none"/>
        </w:rPr>
        <w:t xml:space="preserve">本合同履行过程中产生的纪要、协议以及中标通知书、采购响应文件和采购文件为本合同的附件，与合同具有同等效力。</w:t>
      </w:r>
      <w:r/>
    </w:p>
    <w:p>
      <w:pPr>
        <w:numPr>
          <w:ilvl w:val="0"/>
          <w:numId w:val="12"/>
        </w:numPr>
        <w:jc w:val="left"/>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本合同自甲乙双方签字</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TW"/>
        </w:rPr>
        <w:t xml:space="preserve">盖章</w:t>
      </w:r>
      <w:r>
        <w:rPr>
          <w:rFonts w:hint="eastAsia" w:ascii="宋体" w:hAnsi="宋体" w:cs="宋体"/>
          <w:color w:val="auto"/>
          <w:szCs w:val="21"/>
          <w:highlight w:val="none"/>
        </w:rPr>
        <w:t xml:space="preserve">，并经政府采购管理部门备案后生效。</w:t>
      </w:r>
      <w:r/>
    </w:p>
    <w:p>
      <w:pPr>
        <w:numPr>
          <w:ilvl w:val="0"/>
          <w:numId w:val="12"/>
        </w:numPr>
        <w:jc w:val="left"/>
        <w:spacing w:line="400" w:lineRule="exact"/>
        <w:rPr>
          <w:rFonts w:hint="eastAsia" w:ascii="宋体" w:hAnsi="宋体" w:cs="宋体"/>
          <w:color w:val="auto"/>
          <w:szCs w:val="21"/>
          <w:highlight w:val="none"/>
          <w:lang w:eastAsia="zh-TW"/>
        </w:rPr>
      </w:pPr>
      <w:r>
        <w:rPr>
          <w:rFonts w:hint="eastAsia" w:ascii="宋体" w:hAnsi="宋体" w:cs="宋体"/>
          <w:color w:val="auto"/>
          <w:szCs w:val="21"/>
          <w:highlight w:val="none"/>
        </w:rPr>
        <w:t xml:space="preserve">本合同</w:t>
      </w:r>
      <w:r>
        <w:rPr>
          <w:rFonts w:hint="eastAsia" w:ascii="宋体" w:hAnsi="宋体" w:cs="宋体"/>
          <w:color w:val="auto"/>
          <w:szCs w:val="21"/>
          <w:highlight w:val="none"/>
          <w:lang w:eastAsia="zh-TW"/>
        </w:rPr>
        <w:t xml:space="preserve">一式</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u w:val="single"/>
        </w:rPr>
        <w:t xml:space="preserve">陆</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lang w:eastAsia="zh-TW"/>
        </w:rPr>
        <w:t xml:space="preserve">份，甲方执</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lang w:eastAsia="zh-TW"/>
        </w:rPr>
        <w:t xml:space="preserve">份，乙方执</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u w:val="single"/>
          <w:lang w:eastAsia="zh-TW"/>
        </w:rPr>
        <w:t xml:space="preserve">  </w:t>
      </w:r>
      <w:r>
        <w:rPr>
          <w:rFonts w:hint="eastAsia" w:ascii="宋体" w:hAnsi="宋体" w:cs="宋体"/>
          <w:color w:val="auto"/>
          <w:szCs w:val="21"/>
          <w:highlight w:val="none"/>
          <w:lang w:eastAsia="zh-TW"/>
        </w:rPr>
        <w:t xml:space="preserve">份，</w:t>
      </w:r>
      <w:r>
        <w:rPr>
          <w:rFonts w:hint="eastAsia" w:ascii="宋体" w:hAnsi="宋体" w:cs="宋体"/>
          <w:color w:val="auto"/>
          <w:szCs w:val="21"/>
          <w:highlight w:val="none"/>
        </w:rPr>
        <w:t xml:space="preserve">招标代理机构一份，政府采购部门备案一份，</w:t>
      </w:r>
      <w:r>
        <w:rPr>
          <w:rFonts w:hint="eastAsia" w:ascii="宋体" w:hAnsi="宋体" w:cs="宋体"/>
          <w:color w:val="auto"/>
          <w:szCs w:val="21"/>
          <w:highlight w:val="none"/>
          <w:lang w:eastAsia="zh-TW"/>
        </w:rPr>
        <w:t xml:space="preserve">具有同等法律效力。</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（以下无正文）</w:t>
      </w:r>
      <w:r/>
    </w:p>
    <w:tbl>
      <w:tblPr>
        <w:tblStyle w:val="681"/>
        <w:tblpPr w:horzAnchor="page" w:tblpX="1464" w:vertAnchor="text" w:tblpY="466" w:leftFromText="180" w:topFromText="0" w:rightFromText="180" w:bottomFromText="0"/>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t xml:space="preserve">甲方（盖章）：</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法定代表人（授权代表）：</w:t>
            </w:r>
            <w:r/>
          </w:p>
          <w:p>
            <w:pPr>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lang w:eastAsia="zh-TW"/>
              </w:rPr>
            </w:pPr>
            <w:r>
              <w:rPr>
                <w:rFonts w:hint="eastAsia" w:ascii="宋体" w:hAnsi="宋体" w:cs="宋体"/>
                <w:color w:val="auto"/>
                <w:szCs w:val="21"/>
                <w:highlight w:val="none"/>
              </w:rPr>
              <w:t xml:space="preserve">经办人：</w:t>
            </w:r>
            <w:r/>
          </w:p>
          <w:p>
            <w:pPr>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lang w:eastAsia="zh-TW"/>
              </w:rPr>
            </w:pPr>
            <w:r>
              <w:rPr>
                <w:rFonts w:hint="eastAsia" w:ascii="宋体" w:hAnsi="宋体" w:cs="宋体"/>
                <w:color w:val="auto"/>
                <w:szCs w:val="21"/>
                <w:highlight w:val="none"/>
              </w:rPr>
              <w:t xml:space="preserve">签署日期：</w:t>
            </w:r>
            <w:r/>
          </w:p>
        </w:tc>
        <w:tc>
          <w:tcPr>
            <w:tcW w:w="467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eastAsia="zh-TW"/>
              </w:rPr>
              <w:t xml:space="preserve">乙方（盖章）：</w:t>
            </w:r>
            <w:r/>
          </w:p>
          <w:p>
            <w:pPr>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法定代表人（授权代表）：</w:t>
            </w:r>
            <w:r/>
          </w:p>
          <w:p>
            <w:pPr>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lang w:eastAsia="zh-TW"/>
              </w:rPr>
            </w:pPr>
            <w:r>
              <w:rPr>
                <w:rFonts w:hint="eastAsia" w:ascii="宋体" w:hAnsi="宋体" w:cs="宋体"/>
                <w:color w:val="auto"/>
                <w:szCs w:val="21"/>
                <w:highlight w:val="none"/>
              </w:rPr>
              <w:t xml:space="preserve">经办人：</w:t>
            </w:r>
            <w:r/>
          </w:p>
          <w:p>
            <w:pPr>
              <w:rPr>
                <w:rFonts w:hint="eastAsia" w:ascii="宋体" w:hAnsi="宋体" w:cs="宋体"/>
                <w:color w:val="auto"/>
                <w:szCs w:val="21"/>
                <w:highlight w:val="none"/>
                <w:lang w:eastAsia="zh-TW"/>
              </w:rPr>
            </w:pPr>
            <w:r>
              <w:rPr>
                <w:rFonts w:hint="eastAsia" w:ascii="宋体" w:hAnsi="宋体" w:cs="宋体"/>
                <w:color w:val="auto"/>
                <w:szCs w:val="21"/>
                <w:highlight w:val="none"/>
                <w:lang w:eastAsia="zh-TW"/>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签署日期：</w:t>
            </w:r>
            <w:r/>
          </w:p>
        </w:tc>
      </w:tr>
    </w:tbl>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政府采购合同信用融资政策告知函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各政府采购供应商：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jc w:val="left"/>
        <w:rPr>
          <w:rFonts w:hint="eastAsia" w:ascii="宋体" w:hAnsi="宋体" w:eastAsia="宋体" w:cs="宋体"/>
          <w:b/>
          <w:bCs/>
          <w:color w:val="auto"/>
          <w:sz w:val="52"/>
          <w:szCs w:val="52"/>
          <w:highlight w:val="none"/>
        </w:rPr>
      </w:pPr>
      <w:r>
        <w:rPr>
          <w:rFonts w:hint="eastAsia" w:ascii="宋体" w:hAnsi="宋体" w:eastAsia="宋体" w:cs="宋体"/>
          <w:b/>
          <w:bCs/>
          <w:color w:val="auto"/>
          <w:szCs w:val="21"/>
          <w:highlight w:val="none"/>
        </w:rPr>
        <w:br w:type="page" w:clear="all"/>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682"/>
        <w:rPr>
          <w:rFonts w:hint="eastAsia"/>
          <w:color w:val="auto"/>
          <w:highlight w:val="none"/>
        </w:rPr>
      </w:pPr>
      <w:r>
        <w:rPr>
          <w:rFonts w:hint="eastAsia"/>
          <w:color w:val="auto"/>
          <w:highlight w:val="none"/>
        </w:rPr>
      </w:r>
      <w:r/>
    </w:p>
    <w:p>
      <w:pPr>
        <w:jc w:val="center"/>
        <w:spacing w:line="360" w:lineRule="auto"/>
        <w:tabs>
          <w:tab w:val="left" w:pos="8930" w:leader="none"/>
          <w:tab w:val="left" w:pos="9306" w:leader="none"/>
        </w:tabs>
        <w:rPr>
          <w:rFonts w:hint="eastAsia" w:ascii="宋体" w:hAnsi="宋体" w:eastAsia="宋体" w:cs="宋体"/>
          <w:b/>
          <w:bCs/>
          <w:color w:val="auto"/>
          <w:sz w:val="52"/>
          <w:szCs w:val="52"/>
          <w:highlight w:val="none"/>
        </w:rPr>
        <w:outlineLvl w:val="0"/>
      </w:pPr>
      <w:r/>
      <w:bookmarkStart w:id="53" w:name="_Toc19"/>
      <w:r>
        <w:rPr>
          <w:rFonts w:hint="eastAsia" w:ascii="宋体" w:hAnsi="宋体" w:eastAsia="宋体" w:cs="宋体"/>
          <w:b/>
          <w:bCs/>
          <w:color w:val="auto"/>
          <w:sz w:val="52"/>
          <w:szCs w:val="52"/>
          <w:highlight w:val="none"/>
        </w:rPr>
        <w:t xml:space="preserve">第六章 评审办法及评分标准</w:t>
      </w:r>
      <w:bookmarkEnd w:id="53"/>
      <w:r/>
      <w:r/>
    </w:p>
    <w:p>
      <w:pPr>
        <w:ind w:firstLine="42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24"/>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1、本次评审采用综合评分法，</w:t>
      </w:r>
      <w:r>
        <w:rPr>
          <w:rFonts w:hint="eastAsia" w:ascii="宋体" w:hAnsi="宋体" w:eastAsia="宋体" w:cs="宋体"/>
          <w:color w:val="auto"/>
          <w:sz w:val="24"/>
          <w:szCs w:val="24"/>
          <w:highlight w:val="none"/>
          <w:lang w:val="zh-CN"/>
        </w:rPr>
        <w:t xml:space="preserve">即在响应文件满足采购文件全部实质性要求且按评审因素的量化指标评审得分最高的供应商为成交候选供应商。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hint="eastAsia" w:ascii="宋体" w:hAnsi="宋体" w:eastAsia="宋体" w:cs="宋体"/>
          <w:color w:val="auto"/>
          <w:sz w:val="24"/>
          <w:szCs w:val="24"/>
          <w:highlight w:val="none"/>
          <w:lang w:val="zh-CN"/>
        </w:rPr>
        <w:t xml:space="preserve">采购人书面授权磋商小组直接确定</w:t>
      </w:r>
      <w:r>
        <w:rPr>
          <w:rFonts w:hint="eastAsia" w:ascii="宋体" w:hAnsi="宋体" w:eastAsia="宋体" w:cs="宋体"/>
          <w:color w:val="auto"/>
          <w:sz w:val="24"/>
          <w:szCs w:val="24"/>
          <w:highlight w:val="none"/>
        </w:rPr>
        <w:t xml:space="preserve">成交候选供应商中的第一名作为成交供应商。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评审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得分和价格标得分相加即为供应商的总得分。</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w:t>
      </w:r>
      <w:r>
        <w:rPr>
          <w:rFonts w:hint="eastAsia" w:ascii="宋体" w:hAnsi="宋体" w:eastAsia="宋体" w:cs="宋体"/>
          <w:color w:val="auto"/>
          <w:sz w:val="24"/>
          <w:szCs w:val="24"/>
          <w:highlight w:val="none"/>
          <w:lang w:val="en-US" w:eastAsia="zh-CN"/>
        </w:rPr>
        <w:t xml:space="preserve">及最高限价</w:t>
      </w:r>
      <w:r>
        <w:rPr>
          <w:rFonts w:hint="eastAsia" w:ascii="宋体" w:hAnsi="宋体" w:eastAsia="宋体" w:cs="宋体"/>
          <w:color w:val="auto"/>
          <w:sz w:val="24"/>
          <w:szCs w:val="24"/>
          <w:highlight w:val="none"/>
        </w:rPr>
        <w:t xml:space="preserve">的，为有效磋商报价。超财政预算</w:t>
      </w:r>
      <w:r>
        <w:rPr>
          <w:rFonts w:hint="eastAsia" w:ascii="宋体" w:hAnsi="宋体" w:cs="宋体"/>
          <w:color w:val="auto"/>
          <w:sz w:val="24"/>
          <w:szCs w:val="24"/>
          <w:highlight w:val="none"/>
          <w:lang w:val="en-US" w:eastAsia="zh-CN"/>
        </w:rPr>
        <w:t xml:space="preserve">及最高限价</w:t>
      </w:r>
      <w:r>
        <w:rPr>
          <w:rFonts w:hint="eastAsia" w:ascii="宋体" w:hAnsi="宋体" w:eastAsia="宋体" w:cs="宋体"/>
          <w:color w:val="auto"/>
          <w:sz w:val="24"/>
          <w:szCs w:val="24"/>
          <w:highlight w:val="none"/>
        </w:rPr>
        <w:t xml:space="preserve">的磋商报价文件为未实质性响应文件，不参与评审。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第二步：在所有有效磋商报价中满足采购文件要求，且磋商价格最低的磋商报价为评审基准价，其价格分为</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0分，其他磋商供应商的价格分按照下列公式计算（计算结果四舍五入保留两位小数）：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磋商报价得分＝（评标基准价/磋商报价）×</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highlight w:val="none"/>
          <w:lang w:val="en-US" w:eastAsia="zh-CN"/>
        </w:rPr>
        <w:t xml:space="preserve">施工</w:t>
      </w:r>
      <w:r>
        <w:rPr>
          <w:rFonts w:hint="eastAsia" w:ascii="宋体" w:hAnsi="宋体" w:eastAsia="宋体" w:cs="宋体"/>
          <w:b/>
          <w:bCs/>
          <w:color w:val="auto"/>
          <w:sz w:val="24"/>
          <w:highlight w:val="none"/>
        </w:rPr>
        <w:t xml:space="preserve">方案（技术部分）</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63</w:t>
      </w:r>
      <w:r>
        <w:rPr>
          <w:rFonts w:hint="eastAsia" w:ascii="宋体" w:hAnsi="宋体" w:eastAsia="宋体" w:cs="宋体"/>
          <w:b/>
          <w:bCs/>
          <w:color w:val="auto"/>
          <w:sz w:val="24"/>
          <w:szCs w:val="24"/>
          <w:highlight w:val="none"/>
        </w:rPr>
        <w:t xml:space="preserve">分</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2067"/>
        <w:gridCol w:w="666"/>
        <w:gridCol w:w="5986"/>
      </w:tblGrid>
      <w:tr>
        <w:trPr>
          <w:jc w:val="center"/>
          <w:trHeight w:val="57"/>
        </w:trPr>
        <w:tc>
          <w:tcPr>
            <w:tcW w:w="5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0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66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59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总体概述</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综合评审工程概述、总体安排、施工部署及施工段划分的健全性、合理性、规范性与高效性。科学合理，规范全面、针对性强，得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分；较为科学合理、规范全面、针对性较强，得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分；涉及相关内容但不全面，得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施工进度计划</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综合评审施工总进度计划和各阶段进度的合理性、规范性与针对性强。科学合理，规范全面、针对性强，得7分；较为科学合理、规范全面、针对性较强，得4分；涉及相关内容但不全面，得1分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67" w:type="dxa"/>
            <w:vAlign w:val="center"/>
            <w:textDirection w:val="lrTb"/>
            <w:noWrap w:val="false"/>
          </w:tcPr>
          <w:p>
            <w:pPr>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分部分项工程施工方案及技术措施</w:t>
            </w:r>
            <w:r/>
          </w:p>
        </w:tc>
        <w:tc>
          <w:tcPr>
            <w:tcW w:w="66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综合评审施工方案的科学性、合理性、及技术措施的操作性与规范性。方案科学合理、措施规范可行、操作性强，得7分；方案较为科学合理，措施基本可行，得4分；涉及相关内容但不全面，得1分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0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安全文明施工</w:t>
            </w:r>
            <w:r>
              <w:rPr>
                <w:rFonts w:hint="eastAsia" w:ascii="宋体" w:hAnsi="宋体" w:cs="宋体"/>
                <w:color w:val="auto"/>
                <w:sz w:val="24"/>
                <w:szCs w:val="24"/>
                <w:highlight w:val="none"/>
                <w:lang w:val="en-US" w:eastAsia="zh-CN"/>
              </w:rPr>
              <w:t xml:space="preserve">及环保</w:t>
            </w:r>
            <w:r>
              <w:rPr>
                <w:rFonts w:hint="eastAsia" w:ascii="宋体" w:hAnsi="宋体" w:eastAsia="宋体" w:cs="宋体"/>
                <w:color w:val="auto"/>
                <w:sz w:val="24"/>
                <w:szCs w:val="24"/>
                <w:highlight w:val="none"/>
              </w:rPr>
              <w:t xml:space="preserve">措施</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598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审安全文明施工、扬尘污染防治及环境保护措施的科学性、合理性与操作性。措施科学合理、规范可行、操作性强，得7分；措施较为科学合理、规范可行、操作性较强，得4分；涉及相关内容但不全面，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服务保障承诺内容及质量保障措施的合理性</w:t>
            </w:r>
            <w:r/>
          </w:p>
        </w:tc>
        <w:tc>
          <w:tcPr>
            <w:tcW w:w="666"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综合评审服务质量保障承诺的政策合理性、质量管理目标的明确性及质量保障措施的可行性。</w:t>
            </w:r>
            <w:r>
              <w:rPr>
                <w:rFonts w:ascii="宋体" w:hAnsi="宋体" w:eastAsia="宋体" w:cs="宋体"/>
                <w:color w:val="auto"/>
                <w:sz w:val="24"/>
                <w:szCs w:val="24"/>
                <w:highlight w:val="none"/>
                <w:lang w:val="en-US" w:eastAsia="zh-CN" w:bidi="ar"/>
              </w:rPr>
              <w:t xml:space="preserve">承诺符合国家政策，目标明确，措施科学合理、规范可行、操作性强，得</w:t>
            </w:r>
            <w:r>
              <w:rPr>
                <w:rFonts w:hint="eastAsia" w:ascii="宋体" w:hAnsi="宋体" w:cs="宋体"/>
                <w:color w:val="auto"/>
                <w:sz w:val="24"/>
                <w:szCs w:val="24"/>
                <w:highlight w:val="none"/>
                <w:lang w:val="en-US" w:eastAsia="zh-CN" w:bidi="ar"/>
              </w:rPr>
              <w:t xml:space="preserve">6</w:t>
            </w:r>
            <w:r>
              <w:rPr>
                <w:rFonts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承诺符合国家政策，目标基本明确，措施较为科学合理、操作性较强，</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lang w:val="en-US" w:eastAsia="zh-CN" w:bidi="ar"/>
              </w:rPr>
              <w:t xml:space="preserve">涉及承诺及措施相关内容，但关键要素缺失或不全面，得</w:t>
            </w:r>
            <w:r>
              <w:rPr>
                <w:rFonts w:hint="eastAsia" w:ascii="宋体" w:hAnsi="宋体" w:cs="宋体"/>
                <w:color w:val="auto"/>
                <w:sz w:val="24"/>
                <w:szCs w:val="24"/>
                <w:highlight w:val="none"/>
                <w:lang w:val="en-US" w:eastAsia="zh-CN" w:bidi="ar"/>
              </w:rPr>
              <w:t xml:space="preserve">2</w:t>
            </w:r>
            <w:r>
              <w:rPr>
                <w:rFonts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劳动力配备</w:t>
            </w:r>
            <w:r/>
          </w:p>
        </w:tc>
        <w:tc>
          <w:tcPr>
            <w:tcW w:w="666"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综合评审人员配备合规性、分工明确度、设备管理制度规范性及配备配备方案的科学性与保障力度。</w:t>
            </w:r>
            <w:r>
              <w:rPr>
                <w:rFonts w:ascii="宋体" w:hAnsi="宋体" w:eastAsia="宋体" w:cs="宋体"/>
                <w:color w:val="auto"/>
                <w:sz w:val="24"/>
                <w:szCs w:val="24"/>
                <w:highlight w:val="none"/>
                <w:lang w:val="en-US" w:eastAsia="zh-CN" w:bidi="ar"/>
              </w:rPr>
              <w:t xml:space="preserve">人员满足需求、分工明确，设备管理制度规范，配备方案完善科学、保障措施得力，得</w:t>
            </w:r>
            <w:r>
              <w:rPr>
                <w:rFonts w:hint="eastAsia" w:ascii="宋体" w:hAnsi="宋体" w:cs="宋体"/>
                <w:color w:val="auto"/>
                <w:sz w:val="24"/>
                <w:szCs w:val="24"/>
                <w:highlight w:val="none"/>
                <w:lang w:val="en-US" w:eastAsia="zh-CN" w:bidi="ar"/>
              </w:rPr>
              <w:t xml:space="preserve">6</w:t>
            </w:r>
            <w:r>
              <w:rPr>
                <w:rFonts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人员满足需求、分工明确，设备管理制度规范，配备方案较完善科学、保障措施稍有不足，得</w:t>
            </w:r>
            <w:r>
              <w:rPr>
                <w:rFonts w:hint="eastAsia" w:ascii="宋体" w:hAnsi="宋体" w:cs="宋体"/>
                <w:color w:val="auto"/>
                <w:sz w:val="24"/>
                <w:szCs w:val="24"/>
                <w:highlight w:val="none"/>
                <w:lang w:val="en-US" w:eastAsia="zh-CN" w:bidi="ar"/>
              </w:rPr>
              <w:t xml:space="preserve">4</w:t>
            </w:r>
            <w:r>
              <w:rPr>
                <w:rFonts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涉及人员配备或设备管理相关内容，但存在关键要素缺失，得</w:t>
            </w:r>
            <w:r>
              <w:rPr>
                <w:rFonts w:hint="eastAsia" w:ascii="宋体" w:hAnsi="宋体" w:cs="宋体"/>
                <w:color w:val="auto"/>
                <w:sz w:val="24"/>
                <w:szCs w:val="24"/>
                <w:highlight w:val="none"/>
                <w:lang w:val="en-US" w:eastAsia="zh-CN" w:bidi="ar"/>
              </w:rPr>
              <w:t xml:space="preserve">2</w:t>
            </w:r>
            <w:r>
              <w:rPr>
                <w:rFonts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机械设备、材料供应的投入</w:t>
            </w:r>
            <w:r/>
          </w:p>
        </w:tc>
        <w:tc>
          <w:tcPr>
            <w:tcW w:w="666"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w:t>
            </w:r>
            <w:r>
              <w:rPr>
                <w:rFonts w:hint="eastAsia" w:ascii="宋体" w:hAnsi="宋体" w:cs="宋体"/>
                <w:color w:val="auto"/>
                <w:sz w:val="24"/>
                <w:szCs w:val="24"/>
                <w:highlight w:val="none"/>
                <w:lang w:val="en-US" w:eastAsia="zh-CN"/>
              </w:rPr>
              <w:t xml:space="preserve">机械设备与材料供应的资源配置计划科学性及保障措施可行性。</w:t>
            </w:r>
            <w:r>
              <w:rPr>
                <w:rFonts w:ascii="宋体" w:hAnsi="宋体" w:eastAsia="宋体" w:cs="宋体"/>
                <w:color w:val="auto"/>
                <w:sz w:val="24"/>
                <w:szCs w:val="24"/>
                <w:highlight w:val="none"/>
                <w:lang w:val="en-US" w:eastAsia="zh-CN" w:bidi="ar"/>
              </w:rPr>
              <w:t xml:space="preserve">资源配备计划完善科学，保障措施得力，得</w:t>
            </w:r>
            <w:r>
              <w:rPr>
                <w:rFonts w:hint="eastAsia" w:ascii="宋体" w:hAnsi="宋体" w:cs="宋体"/>
                <w:color w:val="auto"/>
                <w:sz w:val="24"/>
                <w:szCs w:val="24"/>
                <w:highlight w:val="none"/>
                <w:lang w:val="en-US" w:eastAsia="zh-CN" w:bidi="ar"/>
              </w:rPr>
              <w:t xml:space="preserve">6</w:t>
            </w:r>
            <w:r>
              <w:rPr>
                <w:rFonts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资源配备计划完善科学，保障措施未明确或稍显不足，得</w:t>
            </w:r>
            <w:r>
              <w:rPr>
                <w:rFonts w:hint="eastAsia" w:ascii="宋体" w:hAnsi="宋体" w:cs="宋体"/>
                <w:color w:val="auto"/>
                <w:sz w:val="24"/>
                <w:szCs w:val="24"/>
                <w:highlight w:val="none"/>
                <w:lang w:val="en-US" w:eastAsia="zh-CN" w:bidi="ar"/>
              </w:rPr>
              <w:t xml:space="preserve">4</w:t>
            </w:r>
            <w:r>
              <w:rPr>
                <w:rFonts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涉及机械设备或材料供应相关内容，但计划不全面，得</w:t>
            </w:r>
            <w:r>
              <w:rPr>
                <w:rFonts w:hint="eastAsia" w:ascii="宋体" w:hAnsi="宋体" w:cs="宋体"/>
                <w:color w:val="auto"/>
                <w:sz w:val="24"/>
                <w:szCs w:val="24"/>
                <w:highlight w:val="none"/>
                <w:lang w:val="en-US" w:eastAsia="zh-CN" w:bidi="ar"/>
              </w:rPr>
              <w:t xml:space="preserve">2</w:t>
            </w:r>
            <w:r>
              <w:rPr>
                <w:rFonts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0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季节性施工</w:t>
            </w:r>
            <w:r/>
          </w:p>
        </w:tc>
        <w:tc>
          <w:tcPr>
            <w:tcW w:w="666"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5986"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综合评审季节性施工、已有设备及管线加固保护等特殊场景施工措施的针对性与可行性。</w:t>
            </w:r>
            <w:r>
              <w:rPr>
                <w:rFonts w:ascii="宋体" w:hAnsi="宋体" w:eastAsia="宋体" w:cs="宋体"/>
                <w:color w:val="auto"/>
                <w:sz w:val="24"/>
                <w:szCs w:val="24"/>
                <w:highlight w:val="none"/>
                <w:lang w:val="en-US" w:eastAsia="zh-CN" w:bidi="ar"/>
              </w:rPr>
              <w:t xml:space="preserve">针对特殊场景提出的措施具体精准、可操作性强，得</w:t>
            </w:r>
            <w:r>
              <w:rPr>
                <w:rFonts w:hint="eastAsia" w:ascii="宋体" w:hAnsi="宋体" w:eastAsia="宋体" w:cs="宋体"/>
                <w:color w:val="auto"/>
                <w:sz w:val="24"/>
                <w:szCs w:val="24"/>
                <w:highlight w:val="none"/>
                <w:lang w:val="en-US" w:eastAsia="zh-CN" w:bidi="ar"/>
              </w:rPr>
              <w:t xml:space="preserve">5</w:t>
            </w:r>
            <w:r>
              <w:rPr>
                <w:rFonts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对</w:t>
            </w:r>
            <w:r>
              <w:rPr>
                <w:rFonts w:ascii="宋体" w:hAnsi="宋体" w:eastAsia="宋体" w:cs="宋体"/>
                <w:color w:val="auto"/>
                <w:sz w:val="24"/>
                <w:szCs w:val="24"/>
                <w:highlight w:val="none"/>
                <w:lang w:val="en-US" w:eastAsia="zh-CN" w:bidi="ar"/>
              </w:rPr>
              <w:t xml:space="preserve">已提出特殊场景施工措施，但针对性稍弱，得</w:t>
            </w:r>
            <w:r>
              <w:rPr>
                <w:rFonts w:hint="eastAsia" w:ascii="宋体" w:hAnsi="宋体" w:eastAsia="宋体" w:cs="宋体"/>
                <w:color w:val="auto"/>
                <w:sz w:val="24"/>
                <w:szCs w:val="24"/>
                <w:highlight w:val="none"/>
                <w:lang w:val="en-US" w:eastAsia="zh-CN" w:bidi="ar"/>
              </w:rPr>
              <w:t xml:space="preserve">3</w:t>
            </w:r>
            <w:r>
              <w:rPr>
                <w:rFonts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涉及相关内容，但措施不全面或核心要素缺失，得</w:t>
            </w:r>
            <w:r>
              <w:rPr>
                <w:rFonts w:hint="eastAsia" w:ascii="宋体" w:hAnsi="宋体" w:eastAsia="宋体" w:cs="宋体"/>
                <w:color w:val="auto"/>
                <w:sz w:val="24"/>
                <w:szCs w:val="24"/>
                <w:highlight w:val="none"/>
                <w:lang w:val="en-US" w:eastAsia="zh-CN" w:bidi="ar"/>
              </w:rPr>
              <w:t xml:space="preserve">1</w:t>
            </w:r>
            <w:r>
              <w:rPr>
                <w:rFonts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9</w:t>
            </w:r>
            <w:r/>
          </w:p>
        </w:tc>
        <w:tc>
          <w:tcPr>
            <w:tcW w:w="206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应急救援预案</w:t>
            </w:r>
            <w:r/>
          </w:p>
        </w:tc>
        <w:tc>
          <w:tcPr>
            <w:tcW w:w="6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tcW w:w="598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综合评审施工区域危险应急响应预案的科学性、规范性、可操作性及内容详细度。预案科学合理、规范可行，可操作性强且内容描述详细，得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分；预案基本合理规范，可操作性一般且内容描述较简单，得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分；预案可操作性差，内容描述过于简略，得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方案内容无描述的不得分。</w:t>
            </w:r>
            <w:r/>
          </w:p>
        </w:tc>
      </w:tr>
      <w:tr>
        <w:trPr>
          <w:jc w:val="center"/>
          <w:trHeight w:val="57"/>
        </w:trPr>
        <w:tc>
          <w:tcPr>
            <w:tcW w:w="5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0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后期</w:t>
            </w:r>
            <w:r>
              <w:rPr>
                <w:rFonts w:hint="eastAsia" w:ascii="宋体" w:hAnsi="宋体" w:eastAsia="宋体" w:cs="宋体"/>
                <w:color w:val="auto"/>
                <w:sz w:val="24"/>
                <w:szCs w:val="24"/>
                <w:highlight w:val="none"/>
                <w:lang w:val="en-US" w:eastAsia="zh-CN"/>
              </w:rPr>
              <w:t xml:space="preserve">服务方案</w:t>
            </w:r>
            <w:r/>
          </w:p>
        </w:tc>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598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综合评审项目整体</w:t>
            </w:r>
            <w:r>
              <w:rPr>
                <w:rFonts w:hint="eastAsia" w:ascii="宋体" w:hAnsi="宋体" w:cs="宋体"/>
                <w:color w:val="auto"/>
                <w:sz w:val="24"/>
                <w:szCs w:val="24"/>
                <w:highlight w:val="none"/>
                <w:lang w:val="en-US" w:eastAsia="zh-CN"/>
              </w:rPr>
              <w:t xml:space="preserve">后期</w:t>
            </w:r>
            <w:r>
              <w:rPr>
                <w:rFonts w:hint="eastAsia" w:ascii="宋体" w:hAnsi="宋体" w:eastAsia="宋体" w:cs="宋体"/>
                <w:color w:val="auto"/>
                <w:sz w:val="24"/>
                <w:szCs w:val="24"/>
                <w:highlight w:val="none"/>
                <w:lang w:val="en-US" w:eastAsia="zh-CN"/>
              </w:rPr>
              <w:t xml:space="preserve">维护方案</w:t>
            </w:r>
            <w:r>
              <w:rPr>
                <w:rFonts w:hint="eastAsia" w:ascii="宋体" w:hAnsi="宋体" w:cs="宋体"/>
                <w:color w:val="auto"/>
                <w:sz w:val="24"/>
                <w:szCs w:val="24"/>
                <w:highlight w:val="none"/>
                <w:lang w:val="en-US" w:eastAsia="zh-CN"/>
              </w:rPr>
              <w:t xml:space="preserve">及培训方案</w:t>
            </w:r>
            <w:r>
              <w:rPr>
                <w:rFonts w:hint="eastAsia" w:ascii="宋体" w:hAnsi="宋体" w:eastAsia="宋体" w:cs="宋体"/>
                <w:color w:val="auto"/>
                <w:sz w:val="24"/>
                <w:szCs w:val="24"/>
                <w:highlight w:val="none"/>
                <w:lang w:val="en-US" w:eastAsia="zh-CN"/>
              </w:rPr>
              <w:t xml:space="preserve">的合理性、可靠性、稳定性</w:t>
            </w:r>
            <w:r>
              <w:rPr>
                <w:rFonts w:hint="eastAsia" w:ascii="宋体" w:hAnsi="宋体" w:cs="宋体"/>
                <w:color w:val="auto"/>
                <w:sz w:val="24"/>
                <w:szCs w:val="24"/>
                <w:highlight w:val="none"/>
                <w:lang w:val="en-US" w:eastAsia="zh-CN"/>
              </w:rPr>
              <w:t xml:space="preserve">、以及与项目</w:t>
            </w:r>
            <w:r>
              <w:rPr>
                <w:rFonts w:hint="eastAsia" w:ascii="宋体" w:hAnsi="宋体" w:eastAsia="宋体" w:cs="宋体"/>
                <w:color w:val="auto"/>
                <w:sz w:val="24"/>
                <w:szCs w:val="24"/>
                <w:highlight w:val="none"/>
                <w:lang w:val="en-US" w:eastAsia="zh-CN"/>
              </w:rPr>
              <w:t xml:space="preserve">实际需求的贴合度。方案全面合理、可行性强</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en-US" w:eastAsia="zh-CN"/>
              </w:rPr>
              <w:t xml:space="preserve">与实际需求贴合度高，得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分；方案较合理、可行性一般</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en-US" w:eastAsia="zh-CN"/>
              </w:rPr>
              <w:t xml:space="preserve">与实际需求贴合度较高，得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分；方案内容</w:t>
            </w:r>
            <w:r>
              <w:rPr>
                <w:rFonts w:hint="eastAsia" w:ascii="宋体" w:hAnsi="宋体" w:cs="宋体"/>
                <w:color w:val="auto"/>
                <w:sz w:val="24"/>
                <w:szCs w:val="24"/>
                <w:highlight w:val="none"/>
                <w:lang w:val="en-US" w:eastAsia="zh-CN"/>
              </w:rPr>
              <w:t xml:space="preserve">简略，</w:t>
            </w:r>
            <w:r>
              <w:rPr>
                <w:rFonts w:hint="eastAsia" w:ascii="宋体" w:hAnsi="宋体" w:eastAsia="宋体" w:cs="宋体"/>
                <w:color w:val="auto"/>
                <w:sz w:val="24"/>
                <w:szCs w:val="24"/>
                <w:highlight w:val="none"/>
                <w:lang w:val="en-US" w:eastAsia="zh-CN"/>
              </w:rPr>
              <w:t xml:space="preserve">或核心逻辑不合理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与实际需求贴合度差，得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分。方案内容无描述的不得分。</w:t>
            </w:r>
            <w:r/>
          </w:p>
        </w:tc>
      </w:tr>
    </w:tbl>
    <w:p>
      <w:pPr>
        <w:ind w:firstLine="482"/>
        <w:jc w:val="left"/>
        <w:keepNex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（三）商务部分：2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883"/>
        <w:gridCol w:w="817"/>
        <w:gridCol w:w="5964"/>
      </w:tblGrid>
      <w:tr>
        <w:trPr>
          <w:jc w:val="center"/>
          <w:trHeight w:val="57"/>
        </w:trPr>
        <w:tc>
          <w:tcPr>
            <w:tcW w:w="66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88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1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596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57"/>
        </w:trPr>
        <w:tc>
          <w:tcPr>
            <w:tcW w:w="666"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p>
        </w:tc>
        <w:tc>
          <w:tcPr>
            <w:tcW w:w="18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项目负责人</w:t>
            </w:r>
            <w:r/>
          </w:p>
        </w:tc>
        <w:tc>
          <w:tcPr>
            <w:tcW w:w="817"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项目负责人具有工程师(中级)及以上职称的得2分。</w:t>
            </w: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提供供应商为其缴纳</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近3个月内任意一个月社保</w:t>
            </w:r>
            <w:r>
              <w:rPr>
                <w:rFonts w:hint="eastAsia" w:ascii="宋体" w:hAnsi="宋体" w:cs="宋体"/>
                <w:b w:val="0"/>
                <w:bCs w:val="0"/>
                <w:color w:val="auto"/>
                <w:sz w:val="24"/>
                <w:szCs w:val="24"/>
                <w:highlight w:val="none"/>
                <w:lang w:val="en-US" w:eastAsia="zh-CN"/>
              </w:rPr>
              <w:t xml:space="preserve">缴纳证明</w:t>
            </w:r>
            <w:r>
              <w:rPr>
                <w:rFonts w:hint="eastAsia" w:ascii="宋体" w:hAnsi="宋体" w:eastAsia="宋体" w:cs="宋体"/>
                <w:b w:val="0"/>
                <w:bCs w:val="0"/>
                <w:color w:val="auto"/>
                <w:sz w:val="24"/>
                <w:szCs w:val="24"/>
                <w:highlight w:val="none"/>
              </w:rPr>
              <w:t xml:space="preserve">及</w:t>
            </w:r>
            <w:r>
              <w:rPr>
                <w:rFonts w:hint="eastAsia" w:ascii="宋体" w:hAnsi="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rPr>
              <w:t xml:space="preserve">证书，否则不得分。</w:t>
            </w:r>
            <w:r/>
          </w:p>
        </w:tc>
      </w:tr>
      <w:tr>
        <w:trPr>
          <w:jc w:val="center"/>
          <w:trHeight w:val="57"/>
        </w:trPr>
        <w:tc>
          <w:tcPr>
            <w:tcW w:w="666"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tcW w:w="18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技术负责人</w:t>
            </w:r>
            <w:r/>
          </w:p>
        </w:tc>
        <w:tc>
          <w:tcPr>
            <w:tcW w:w="817"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技术负责人具有工程师(中级)及以上职称的得2分。</w:t>
            </w: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提供供应商为其缴纳</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近3个月内任意一个月社保</w:t>
            </w:r>
            <w:r>
              <w:rPr>
                <w:rFonts w:hint="eastAsia" w:ascii="宋体" w:hAnsi="宋体" w:cs="宋体"/>
                <w:b w:val="0"/>
                <w:bCs w:val="0"/>
                <w:color w:val="auto"/>
                <w:sz w:val="24"/>
                <w:szCs w:val="24"/>
                <w:highlight w:val="none"/>
                <w:lang w:val="en-US" w:eastAsia="zh-CN"/>
              </w:rPr>
              <w:t xml:space="preserve">缴纳证明</w:t>
            </w:r>
            <w:r>
              <w:rPr>
                <w:rFonts w:hint="eastAsia" w:ascii="宋体" w:hAnsi="宋体" w:eastAsia="宋体" w:cs="宋体"/>
                <w:b w:val="0"/>
                <w:bCs w:val="0"/>
                <w:color w:val="auto"/>
                <w:sz w:val="24"/>
                <w:szCs w:val="24"/>
                <w:highlight w:val="none"/>
              </w:rPr>
              <w:t xml:space="preserve">及</w:t>
            </w:r>
            <w:r>
              <w:rPr>
                <w:rFonts w:hint="eastAsia" w:ascii="宋体" w:hAnsi="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rPr>
              <w:t xml:space="preserve">证书，否则不得分。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88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组成员（岗位资格）</w:t>
            </w:r>
            <w:r/>
          </w:p>
        </w:tc>
        <w:tc>
          <w:tcPr>
            <w:tcW w:w="8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项目组成员中具备以下（安全员、资料员、施工员、质检员、材料员）岗位资格的，</w:t>
            </w:r>
            <w:r>
              <w:rPr>
                <w:rFonts w:hint="eastAsia" w:ascii="宋体" w:hAnsi="宋体" w:eastAsia="宋体" w:cs="宋体"/>
                <w:b w:val="0"/>
                <w:bCs w:val="0"/>
                <w:color w:val="auto"/>
                <w:sz w:val="24"/>
                <w:szCs w:val="24"/>
                <w:highlight w:val="none"/>
              </w:rPr>
              <w:t xml:space="preserve">每个</w:t>
            </w:r>
            <w:r>
              <w:rPr>
                <w:rFonts w:hint="eastAsia" w:ascii="宋体" w:hAnsi="宋体" w:cs="宋体"/>
                <w:b w:val="0"/>
                <w:bCs w:val="0"/>
                <w:color w:val="auto"/>
                <w:sz w:val="24"/>
                <w:szCs w:val="24"/>
                <w:highlight w:val="none"/>
                <w:lang w:val="en-US" w:eastAsia="zh-CN"/>
              </w:rPr>
              <w:t xml:space="preserve">岗位</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w:t>
            </w:r>
            <w:r>
              <w:rPr>
                <w:rFonts w:hint="eastAsia" w:ascii="宋体" w:hAnsi="宋体" w:cs="宋体"/>
                <w:b w:val="0"/>
                <w:bCs w:val="0"/>
                <w:color w:val="auto"/>
                <w:sz w:val="24"/>
                <w:szCs w:val="24"/>
                <w:highlight w:val="none"/>
                <w:lang w:val="en-US" w:eastAsia="zh-CN"/>
              </w:rPr>
              <w:t xml:space="preserve">累计</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提供供应商为其缴纳</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近3个月内任意一个月社保</w:t>
            </w:r>
            <w:r>
              <w:rPr>
                <w:rFonts w:hint="eastAsia" w:ascii="宋体" w:hAnsi="宋体" w:cs="宋体"/>
                <w:b w:val="0"/>
                <w:bCs w:val="0"/>
                <w:color w:val="auto"/>
                <w:sz w:val="24"/>
                <w:szCs w:val="24"/>
                <w:highlight w:val="none"/>
                <w:lang w:val="en-US" w:eastAsia="zh-CN"/>
              </w:rPr>
              <w:t xml:space="preserve">缴纳证明</w:t>
            </w:r>
            <w:r>
              <w:rPr>
                <w:rFonts w:hint="eastAsia" w:ascii="宋体" w:hAnsi="宋体" w:eastAsia="宋体" w:cs="宋体"/>
                <w:b w:val="0"/>
                <w:bCs w:val="0"/>
                <w:color w:val="auto"/>
                <w:sz w:val="24"/>
                <w:szCs w:val="24"/>
                <w:highlight w:val="none"/>
              </w:rPr>
              <w:t xml:space="preserve">及证书，否则不得分。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88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组成员（职称）</w:t>
            </w:r>
            <w:r/>
          </w:p>
        </w:tc>
        <w:tc>
          <w:tcPr>
            <w:tcW w:w="8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项目组成员中</w:t>
            </w:r>
            <w:r>
              <w:rPr>
                <w:rFonts w:hint="eastAsia" w:ascii="宋体" w:hAnsi="宋体" w:cs="宋体"/>
                <w:b w:val="0"/>
                <w:bCs w:val="0"/>
                <w:color w:val="auto"/>
                <w:sz w:val="24"/>
                <w:szCs w:val="24"/>
                <w:highlight w:val="none"/>
                <w:lang w:val="en-US" w:eastAsia="zh-CN"/>
              </w:rPr>
              <w:t xml:space="preserve">（除项目负责人及技术负责人）</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rPr>
              <w:t xml:space="preserve">工程师</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中级</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及以上职称的，每有一个得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提供供应商为其缴纳</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近3个月内任意一个月社保</w:t>
            </w:r>
            <w:r>
              <w:rPr>
                <w:rFonts w:hint="eastAsia" w:ascii="宋体" w:hAnsi="宋体" w:cs="宋体"/>
                <w:b w:val="0"/>
                <w:bCs w:val="0"/>
                <w:color w:val="auto"/>
                <w:sz w:val="24"/>
                <w:szCs w:val="24"/>
                <w:highlight w:val="none"/>
                <w:lang w:val="en-US" w:eastAsia="zh-CN"/>
              </w:rPr>
              <w:t xml:space="preserve">缴纳证明</w:t>
            </w:r>
            <w:r>
              <w:rPr>
                <w:rFonts w:hint="eastAsia" w:ascii="宋体" w:hAnsi="宋体" w:eastAsia="宋体" w:cs="宋体"/>
                <w:b w:val="0"/>
                <w:bCs w:val="0"/>
                <w:color w:val="auto"/>
                <w:sz w:val="24"/>
                <w:szCs w:val="24"/>
                <w:highlight w:val="none"/>
              </w:rPr>
              <w:t xml:space="preserve">及</w:t>
            </w:r>
            <w:r>
              <w:rPr>
                <w:rFonts w:hint="eastAsia" w:ascii="宋体" w:hAnsi="宋体" w:cs="宋体"/>
                <w:b w:val="0"/>
                <w:bCs w:val="0"/>
                <w:color w:val="auto"/>
                <w:sz w:val="24"/>
                <w:szCs w:val="24"/>
                <w:highlight w:val="none"/>
                <w:lang w:val="en-US" w:eastAsia="zh-CN"/>
              </w:rPr>
              <w:t xml:space="preserve">职称</w:t>
            </w:r>
            <w:r>
              <w:rPr>
                <w:rFonts w:hint="eastAsia" w:ascii="宋体" w:hAnsi="宋体" w:eastAsia="宋体" w:cs="宋体"/>
                <w:b w:val="0"/>
                <w:bCs w:val="0"/>
                <w:color w:val="auto"/>
                <w:sz w:val="24"/>
                <w:szCs w:val="24"/>
                <w:highlight w:val="none"/>
              </w:rPr>
              <w:t xml:space="preserve">证书，否则不得分。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管理体系认证</w:t>
            </w:r>
            <w:r/>
          </w:p>
        </w:tc>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供应商具有有效期内的质量管理体系认证证书、环境管理体系认证证书、职业健康安全管理体系认证证书，有一个得2分，最高得6分。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提供证书</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在中国国家认证认可监督管理委员会网站的完整查询截图，未提供或提供材料模糊不清无法辨认的不予计分。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W w:w="81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596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供应商具有2022年至今</w:t>
            </w:r>
            <w:r>
              <w:rPr>
                <w:rFonts w:hint="eastAsia" w:ascii="宋体" w:hAnsi="宋体" w:cs="宋体"/>
                <w:b w:val="0"/>
                <w:bCs w:val="0"/>
                <w:color w:val="auto"/>
                <w:sz w:val="24"/>
                <w:szCs w:val="24"/>
                <w:highlight w:val="none"/>
                <w:lang w:val="en-US" w:eastAsia="zh-CN"/>
              </w:rPr>
              <w:t xml:space="preserve">承担过</w:t>
            </w:r>
            <w:r>
              <w:rPr>
                <w:rFonts w:hint="eastAsia" w:ascii="宋体" w:hAnsi="宋体" w:eastAsia="宋体" w:cs="宋体"/>
                <w:b w:val="0"/>
                <w:bCs w:val="0"/>
                <w:color w:val="auto"/>
                <w:sz w:val="24"/>
                <w:szCs w:val="24"/>
                <w:highlight w:val="none"/>
              </w:rPr>
              <w:t xml:space="preserve">的类似业绩，每个得2分，最高得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提供合同</w:t>
            </w:r>
            <w:r>
              <w:rPr>
                <w:rFonts w:hint="eastAsia" w:ascii="宋体" w:hAnsi="宋体" w:cs="宋体"/>
                <w:b w:val="0"/>
                <w:bCs w:val="0"/>
                <w:color w:val="auto"/>
                <w:sz w:val="24"/>
                <w:szCs w:val="24"/>
                <w:highlight w:val="none"/>
                <w:lang w:val="en-US" w:eastAsia="zh-CN"/>
              </w:rPr>
              <w:t xml:space="preserve">及任意一期的发票</w:t>
            </w:r>
            <w:r>
              <w:rPr>
                <w:rFonts w:hint="eastAsia" w:ascii="宋体" w:hAnsi="宋体" w:eastAsia="宋体" w:cs="宋体"/>
                <w:b w:val="0"/>
                <w:bCs w:val="0"/>
                <w:color w:val="auto"/>
                <w:sz w:val="24"/>
                <w:szCs w:val="24"/>
                <w:highlight w:val="none"/>
              </w:rPr>
              <w:t xml:space="preserve">，未提供或提供材料模糊不清无法辨认的不予计分。</w:t>
            </w:r>
            <w:r/>
          </w:p>
        </w:tc>
      </w:tr>
    </w:tbl>
    <w:p>
      <w:pPr>
        <w:ind w:firstLine="369"/>
        <w:jc w:val="righ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9"/>
        <w:jc w:val="righ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9"/>
      <w:footerReference w:type="default" r:id="rId10"/>
      <w:footnotePr/>
      <w:endnotePr/>
      <w:type w:val="nextPage"/>
      <w:pgSz w:w="11906" w:h="16838" w:orient="portrait"/>
      <w:pgMar w:top="1327" w:right="1270" w:bottom="1327" w:left="127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Cambria">
    <w:panose1 w:val="02040503050406030204"/>
  </w:font>
  <w:font w:name="方正仿宋简体">
    <w:panose1 w:val="020B0503020202020204"/>
  </w:font>
  <w:font w:name="Tahoma">
    <w:panose1 w:val="020B0604030504040204"/>
  </w:font>
  <w:font w:name="楷体_GB2312">
    <w:panose1 w:val="02010609060101010101"/>
  </w:font>
  <w:font w:name="Calibri">
    <w:panose1 w:val="020F0502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2472055</wp:posOffset>
              </wp:positionH>
              <wp:positionV relativeFrom="paragraph">
                <wp:posOffset>-23495</wp:posOffset>
              </wp:positionV>
              <wp:extent cx="1146810" cy="1727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46810" cy="172720"/>
                      </a:xfrm>
                      <a:prstGeom prst="rect">
                        <a:avLst/>
                      </a:prstGeom>
                      <a:noFill/>
                      <a:ln w="6350">
                        <a:noFill/>
                      </a:ln>
                    </wps:spPr>
                    <wps:txbx>
                      <w:txbxContent>
                        <w:p>
                          <w:pPr>
                            <w:pStyle w:val="788"/>
                          </w:pPr>
                          <w:r>
                            <w:t xml:space="preserve">第 </w:t>
                          </w:r>
                          <w:r>
                            <w:fldChar w:fldCharType="begin"/>
                          </w:r>
                          <w:r>
                            <w:instrText xml:space="preserve"> PAGE  \* MERGEFORMAT    </w:instrText>
                          </w:r>
                          <w:r>
                            <w:fldChar w:fldCharType="separate"/>
                          </w:r>
                          <w:r>
                            <w:t xml:space="preserve">0</w:t>
                          </w:r>
                          <w:r>
                            <w:rPr>
                              <w:rFonts w:hint="eastAsia"/>
                            </w:rPr>
                            <w:t xml:space="preserve">49</w:t>
                          </w:r>
                          <w:r>
                            <w:t xml:space="preserve">3</w:t>
                          </w:r>
                          <w:r>
                            <w:fldChar w:fldCharType="end"/>
                          </w:r>
                          <w:r>
                            <w:t xml:space="preserve"> 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4.6pt;mso-position-horizontal:absolute;mso-position-vertical-relative:text;margin-top:-1.8pt;mso-position-vertical:absolute;width:90.3pt;height:13.6pt;mso-wrap-distance-left:9.0pt;mso-wrap-distance-top:0.0pt;mso-wrap-distance-right:9.0pt;mso-wrap-distance-bottom:0.0pt;visibility:visible;" filled="f" stroked="f" strokeweight="0.50pt">
              <v:textbox inset="0,0,0,0">
                <w:txbxContent>
                  <w:p>
                    <w:pPr>
                      <w:pStyle w:val="788"/>
                    </w:pPr>
                    <w:r>
                      <w:t xml:space="preserve">第 </w:t>
                    </w:r>
                    <w:r>
                      <w:fldChar w:fldCharType="begin"/>
                    </w:r>
                    <w:r>
                      <w:instrText xml:space="preserve"> PAGE  \* MERGEFORMAT    </w:instrText>
                    </w:r>
                    <w:r>
                      <w:fldChar w:fldCharType="separate"/>
                    </w:r>
                    <w:r>
                      <w:t xml:space="preserve">0</w:t>
                    </w:r>
                    <w:r>
                      <w:rPr>
                        <w:rFonts w:hint="eastAsia"/>
                      </w:rPr>
                      <w:t xml:space="preserve">49</w:t>
                    </w:r>
                    <w:r>
                      <w:t xml:space="preserve">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rPr>
        <w:rFonts w:hint="eastAsia" w:ascii="宋体" w:hAnsi="宋体" w:eastAsia="宋体" w:cs="宋体"/>
        <w:color w:val="auto"/>
        <w:highlight w:val="none"/>
        <w:lang w:eastAsia="zh-CN"/>
      </w:rPr>
      <w:pBdr>
        <w:bottom w:val="single" w:color="auto" w:sz="4" w:space="0"/>
      </w:pBdr>
    </w:pPr>
    <w:r>
      <w:rPr>
        <w:rFonts w:hint="eastAsia" w:ascii="宋体" w:hAnsi="宋体" w:eastAsia="宋体" w:cs="宋体"/>
        <w:color w:val="auto"/>
        <w:highlight w:val="none"/>
      </w:rPr>
      <w:t xml:space="preserve">政府采购文件                                                  采购编号：</w:t>
    </w:r>
    <w:r>
      <w:rPr>
        <w:rFonts w:hint="eastAsia" w:ascii="宋体" w:hAnsi="宋体" w:cs="宋体"/>
        <w:color w:val="auto"/>
        <w:highlight w:val="none"/>
        <w:lang w:eastAsia="zh-CN"/>
      </w:rPr>
      <w:t xml:space="preserve">JSZC-320505-HXGW-C2025-0079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next w:val="6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2">
    <w:name w:val="Heading 2"/>
    <w:basedOn w:val="671"/>
    <w:next w:val="671"/>
    <w:uiPriority w:val="0"/>
    <w:qFormat/>
    <w:pPr>
      <w:jc w:val="center"/>
      <w:keepNext/>
      <w:outlineLvl w:val="1"/>
    </w:pPr>
    <w:rPr>
      <w:rFonts w:ascii="宋体" w:hAnsi="宋体"/>
      <w:b/>
      <w:bCs/>
      <w:sz w:val="28"/>
      <w:szCs w:val="28"/>
    </w:rPr>
  </w:style>
  <w:style w:type="paragraph" w:styleId="673">
    <w:name w:val="Heading 3"/>
    <w:basedOn w:val="671"/>
    <w:next w:val="67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1"/>
    <w:next w:val="671"/>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1"/>
    <w:next w:val="671"/>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1"/>
    <w:next w:val="671"/>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1"/>
    <w:next w:val="67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1"/>
    <w:next w:val="671"/>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1"/>
    <w:next w:val="67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段"/>
    <w:next w:val="671"/>
    <w:uiPriority w:val="0"/>
    <w:qFormat/>
    <w:pPr>
      <w:ind w:firstLine="200"/>
      <w:jc w:val="both"/>
    </w:pPr>
    <w:rPr>
      <w:rFonts w:hint="default" w:ascii="宋体" w:hAnsi="Times New Roman" w:eastAsia="宋体" w:cs="Times New Roman"/>
      <w:sz w:val="21"/>
      <w:lang w:val="en-US" w:eastAsia="zh-CN" w:bidi="ar-SA"/>
    </w:rPr>
  </w:style>
  <w:style w:type="paragraph" w:styleId="683">
    <w:name w:val="toc 7"/>
    <w:basedOn w:val="671"/>
    <w:next w:val="671"/>
    <w:uiPriority w:val="39"/>
    <w:unhideWhenUsed/>
    <w:qFormat/>
    <w:pPr>
      <w:ind w:left="1701"/>
      <w:spacing w:after="57"/>
    </w:pPr>
  </w:style>
  <w:style w:type="paragraph" w:styleId="684">
    <w:name w:val="Normal Indent"/>
    <w:basedOn w:val="671"/>
    <w:next w:val="671"/>
    <w:uiPriority w:val="0"/>
    <w:qFormat/>
    <w:pPr>
      <w:ind w:left="420" w:firstLine="4772"/>
    </w:pPr>
  </w:style>
  <w:style w:type="paragraph" w:styleId="685">
    <w:name w:val="Caption"/>
    <w:basedOn w:val="671"/>
    <w:next w:val="6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Document Map"/>
    <w:basedOn w:val="671"/>
    <w:uiPriority w:val="0"/>
    <w:qFormat/>
    <w:pPr>
      <w:shd w:val="clear" w:color="auto" w:fill="000080"/>
    </w:pPr>
  </w:style>
  <w:style w:type="paragraph" w:styleId="687">
    <w:name w:val="annotation text"/>
    <w:basedOn w:val="671"/>
    <w:link w:val="738"/>
    <w:uiPriority w:val="99"/>
    <w:unhideWhenUsed/>
    <w:qFormat/>
    <w:pPr>
      <w:jc w:val="left"/>
    </w:pPr>
  </w:style>
  <w:style w:type="paragraph" w:styleId="688">
    <w:name w:val="Body Text"/>
    <w:basedOn w:val="671"/>
    <w:uiPriority w:val="0"/>
    <w:qFormat/>
    <w:pPr>
      <w:spacing w:after="120"/>
    </w:pPr>
    <w:rPr>
      <w:szCs w:val="24"/>
    </w:rPr>
  </w:style>
  <w:style w:type="paragraph" w:styleId="689">
    <w:name w:val="Body Text Indent"/>
    <w:basedOn w:val="671"/>
    <w:uiPriority w:val="0"/>
    <w:qFormat/>
    <w:pPr>
      <w:ind w:left="420" w:firstLine="1188"/>
      <w:spacing w:line="360" w:lineRule="exact"/>
    </w:pPr>
    <w:rPr>
      <w:szCs w:val="24"/>
    </w:rPr>
  </w:style>
  <w:style w:type="paragraph" w:styleId="690">
    <w:name w:val="toc 5"/>
    <w:basedOn w:val="671"/>
    <w:next w:val="671"/>
    <w:uiPriority w:val="39"/>
    <w:unhideWhenUsed/>
    <w:qFormat/>
    <w:pPr>
      <w:ind w:left="1134"/>
      <w:spacing w:after="57"/>
    </w:pPr>
  </w:style>
  <w:style w:type="paragraph" w:styleId="691">
    <w:name w:val="toc 3"/>
    <w:basedOn w:val="671"/>
    <w:next w:val="671"/>
    <w:uiPriority w:val="39"/>
    <w:unhideWhenUsed/>
    <w:qFormat/>
    <w:pPr>
      <w:ind w:left="567"/>
      <w:spacing w:after="57"/>
    </w:pPr>
  </w:style>
  <w:style w:type="paragraph" w:styleId="692">
    <w:name w:val="Plain Text"/>
    <w:basedOn w:val="671"/>
    <w:uiPriority w:val="0"/>
    <w:qFormat/>
    <w:rPr>
      <w:rFonts w:ascii="宋体" w:hAnsi="Courier New"/>
      <w:szCs w:val="20"/>
    </w:rPr>
  </w:style>
  <w:style w:type="paragraph" w:styleId="693">
    <w:name w:val="toc 8"/>
    <w:basedOn w:val="671"/>
    <w:next w:val="671"/>
    <w:uiPriority w:val="39"/>
    <w:unhideWhenUsed/>
    <w:qFormat/>
    <w:pPr>
      <w:ind w:left="1984"/>
      <w:spacing w:after="57"/>
    </w:pPr>
  </w:style>
  <w:style w:type="paragraph" w:styleId="694">
    <w:name w:val="endnote text"/>
    <w:basedOn w:val="671"/>
    <w:link w:val="739"/>
    <w:uiPriority w:val="99"/>
    <w:unhideWhenUsed/>
    <w:qFormat/>
    <w:rPr>
      <w:sz w:val="20"/>
    </w:rPr>
  </w:style>
  <w:style w:type="paragraph" w:styleId="695">
    <w:name w:val="Balloon Text"/>
    <w:basedOn w:val="671"/>
    <w:link w:val="740"/>
    <w:uiPriority w:val="99"/>
    <w:unhideWhenUsed/>
    <w:qFormat/>
    <w:rPr>
      <w:sz w:val="18"/>
      <w:szCs w:val="18"/>
    </w:rPr>
  </w:style>
  <w:style w:type="paragraph" w:styleId="696">
    <w:name w:val="Footer"/>
    <w:basedOn w:val="671"/>
    <w:uiPriority w:val="99"/>
    <w:unhideWhenUsed/>
    <w:qFormat/>
    <w:pPr>
      <w:jc w:val="left"/>
      <w:tabs>
        <w:tab w:val="center" w:pos="4153" w:leader="none"/>
        <w:tab w:val="right" w:pos="8306" w:leader="none"/>
      </w:tabs>
    </w:pPr>
    <w:rPr>
      <w:sz w:val="18"/>
    </w:rPr>
  </w:style>
  <w:style w:type="paragraph" w:styleId="697">
    <w:name w:val="envelope return"/>
    <w:basedOn w:val="671"/>
    <w:uiPriority w:val="0"/>
    <w:qFormat/>
    <w:rPr>
      <w:sz w:val="26"/>
      <w:szCs w:val="24"/>
    </w:rPr>
  </w:style>
  <w:style w:type="paragraph" w:styleId="698">
    <w:name w:val="Header"/>
    <w:basedOn w:val="671"/>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9">
    <w:name w:val="toc 1"/>
    <w:basedOn w:val="671"/>
    <w:next w:val="671"/>
    <w:uiPriority w:val="39"/>
    <w:unhideWhenUsed/>
    <w:qFormat/>
    <w:pPr>
      <w:spacing w:after="57"/>
    </w:pPr>
  </w:style>
  <w:style w:type="paragraph" w:styleId="700">
    <w:name w:val="toc 4"/>
    <w:basedOn w:val="671"/>
    <w:next w:val="671"/>
    <w:uiPriority w:val="39"/>
    <w:unhideWhenUsed/>
    <w:qFormat/>
    <w:pPr>
      <w:ind w:left="850"/>
      <w:spacing w:after="57"/>
    </w:pPr>
  </w:style>
  <w:style w:type="paragraph" w:styleId="701">
    <w:name w:val="Subtitle"/>
    <w:basedOn w:val="671"/>
    <w:next w:val="671"/>
    <w:link w:val="741"/>
    <w:uiPriority w:val="11"/>
    <w:qFormat/>
    <w:pPr>
      <w:spacing w:before="200" w:after="200"/>
    </w:pPr>
    <w:rPr>
      <w:sz w:val="24"/>
      <w:szCs w:val="24"/>
    </w:rPr>
  </w:style>
  <w:style w:type="paragraph" w:styleId="702">
    <w:name w:val="footnote text"/>
    <w:basedOn w:val="671"/>
    <w:link w:val="742"/>
    <w:uiPriority w:val="99"/>
    <w:unhideWhenUsed/>
    <w:qFormat/>
    <w:pPr>
      <w:spacing w:after="40"/>
    </w:pPr>
    <w:rPr>
      <w:sz w:val="18"/>
    </w:rPr>
  </w:style>
  <w:style w:type="paragraph" w:styleId="703">
    <w:name w:val="toc 6"/>
    <w:basedOn w:val="671"/>
    <w:next w:val="671"/>
    <w:uiPriority w:val="39"/>
    <w:unhideWhenUsed/>
    <w:qFormat/>
    <w:pPr>
      <w:ind w:left="1417"/>
      <w:spacing w:after="57"/>
    </w:pPr>
  </w:style>
  <w:style w:type="paragraph" w:styleId="704">
    <w:name w:val="table of figures"/>
    <w:basedOn w:val="671"/>
    <w:next w:val="671"/>
    <w:uiPriority w:val="99"/>
    <w:unhideWhenUsed/>
    <w:qFormat/>
  </w:style>
  <w:style w:type="paragraph" w:styleId="705">
    <w:name w:val="toc 2"/>
    <w:basedOn w:val="671"/>
    <w:next w:val="671"/>
    <w:uiPriority w:val="39"/>
    <w:unhideWhenUsed/>
    <w:qFormat/>
    <w:pPr>
      <w:ind w:left="283"/>
      <w:spacing w:after="57"/>
    </w:pPr>
  </w:style>
  <w:style w:type="paragraph" w:styleId="706">
    <w:name w:val="toc 9"/>
    <w:basedOn w:val="671"/>
    <w:next w:val="671"/>
    <w:uiPriority w:val="39"/>
    <w:unhideWhenUsed/>
    <w:qFormat/>
    <w:pPr>
      <w:ind w:left="2268"/>
      <w:spacing w:after="57"/>
    </w:pPr>
  </w:style>
  <w:style w:type="paragraph" w:styleId="707">
    <w:name w:val="Normal (Web)"/>
    <w:basedOn w:val="671"/>
    <w:uiPriority w:val="99"/>
    <w:qFormat/>
    <w:pPr>
      <w:jc w:val="left"/>
      <w:spacing w:before="100" w:beforeAutospacing="1" w:after="100" w:afterAutospacing="1"/>
      <w:widowControl/>
    </w:pPr>
    <w:rPr>
      <w:rFonts w:ascii="宋体" w:hAnsi="宋体" w:cs="宋体"/>
      <w:sz w:val="24"/>
    </w:rPr>
  </w:style>
  <w:style w:type="paragraph" w:styleId="708">
    <w:name w:val="Title"/>
    <w:basedOn w:val="671"/>
    <w:next w:val="671"/>
    <w:link w:val="743"/>
    <w:uiPriority w:val="10"/>
    <w:qFormat/>
    <w:pPr>
      <w:contextualSpacing/>
      <w:spacing w:before="300" w:after="200"/>
    </w:pPr>
    <w:rPr>
      <w:sz w:val="48"/>
      <w:szCs w:val="48"/>
    </w:rPr>
  </w:style>
  <w:style w:type="paragraph" w:styleId="709">
    <w:name w:val="annotation subject"/>
    <w:basedOn w:val="687"/>
    <w:next w:val="687"/>
    <w:link w:val="744"/>
    <w:uiPriority w:val="99"/>
    <w:unhideWhenUsed/>
    <w:qFormat/>
    <w:rPr>
      <w:b/>
      <w:bCs/>
    </w:rPr>
  </w:style>
  <w:style w:type="paragraph" w:styleId="710">
    <w:name w:val="Body Text First Indent 2"/>
    <w:basedOn w:val="689"/>
    <w:next w:val="684"/>
    <w:uiPriority w:val="0"/>
    <w:qFormat/>
    <w:pPr>
      <w:ind w:left="200" w:firstLine="420"/>
      <w:spacing w:after="120"/>
    </w:pPr>
    <w:rPr>
      <w:rFonts w:ascii="Calibri" w:hAnsi="Calibri"/>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unhideWhenUsed/>
    <w:qFormat/>
    <w:rPr>
      <w:vertAlign w:val="superscript"/>
    </w:rPr>
  </w:style>
  <w:style w:type="character" w:styleId="713">
    <w:name w:val="FollowedHyperlink"/>
    <w:uiPriority w:val="99"/>
    <w:unhideWhenUsed/>
    <w:qFormat/>
    <w:rPr>
      <w:color w:val="333333"/>
      <w:u w:val="none"/>
    </w:rPr>
  </w:style>
  <w:style w:type="character" w:styleId="714">
    <w:name w:val="Emphasis"/>
    <w:uiPriority w:val="20"/>
    <w:qFormat/>
  </w:style>
  <w:style w:type="character" w:styleId="715">
    <w:name w:val="Hyperlink"/>
    <w:uiPriority w:val="99"/>
    <w:unhideWhenUsed/>
    <w:qFormat/>
    <w:rPr>
      <w:color w:val="333333"/>
      <w:u w:val="none"/>
    </w:rPr>
  </w:style>
  <w:style w:type="character" w:styleId="716">
    <w:name w:val="annotation reference"/>
    <w:uiPriority w:val="99"/>
    <w:unhideWhenUsed/>
    <w:qFormat/>
    <w:rPr>
      <w:sz w:val="21"/>
      <w:szCs w:val="21"/>
    </w:rPr>
  </w:style>
  <w:style w:type="character" w:styleId="717">
    <w:name w:val="footnote reference"/>
    <w:uiPriority w:val="99"/>
    <w:unhideWhenUsed/>
    <w:qFormat/>
    <w:rPr>
      <w:vertAlign w:val="superscript"/>
    </w:rPr>
  </w:style>
  <w:style w:type="table" w:styleId="718"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8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8"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9"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0"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customStyle="1">
    <w:name w:val="List Table 2"/>
    <w:basedOn w:val="68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2"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5"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6"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7" w:customStyle="1">
    <w:name w:val="TOC Heading"/>
    <w:uiPriority w:val="39"/>
    <w:unhideWhenUsed/>
    <w:qFormat/>
    <w:rPr>
      <w:rFonts w:hint="default" w:ascii="Times New Roman" w:hAnsi="Times New Roman" w:eastAsia="宋体" w:cs="Times New Roman"/>
    </w:rPr>
  </w:style>
  <w:style w:type="character" w:styleId="738" w:customStyle="1">
    <w:name w:val="批注文字 字符1"/>
    <w:link w:val="687"/>
    <w:uiPriority w:val="99"/>
    <w:semiHidden/>
    <w:qFormat/>
    <w:rPr>
      <w:sz w:val="21"/>
      <w:szCs w:val="22"/>
    </w:rPr>
  </w:style>
  <w:style w:type="character" w:styleId="739" w:customStyle="1">
    <w:name w:val="尾注文本 字符"/>
    <w:link w:val="694"/>
    <w:uiPriority w:val="99"/>
    <w:qFormat/>
    <w:rPr>
      <w:sz w:val="20"/>
    </w:rPr>
  </w:style>
  <w:style w:type="character" w:styleId="740" w:customStyle="1">
    <w:name w:val="批注框文本 字符"/>
    <w:link w:val="695"/>
    <w:uiPriority w:val="99"/>
    <w:semiHidden/>
    <w:qFormat/>
    <w:rPr>
      <w:sz w:val="18"/>
      <w:szCs w:val="18"/>
    </w:rPr>
  </w:style>
  <w:style w:type="character" w:styleId="741" w:customStyle="1">
    <w:name w:val="副标题 字符"/>
    <w:link w:val="701"/>
    <w:uiPriority w:val="11"/>
    <w:qFormat/>
    <w:rPr>
      <w:sz w:val="24"/>
      <w:szCs w:val="24"/>
    </w:rPr>
  </w:style>
  <w:style w:type="character" w:styleId="742" w:customStyle="1">
    <w:name w:val="脚注文本 字符"/>
    <w:link w:val="702"/>
    <w:uiPriority w:val="99"/>
    <w:qFormat/>
    <w:rPr>
      <w:sz w:val="18"/>
    </w:rPr>
  </w:style>
  <w:style w:type="character" w:styleId="743" w:customStyle="1">
    <w:name w:val="标题 字符"/>
    <w:link w:val="708"/>
    <w:uiPriority w:val="10"/>
    <w:qFormat/>
    <w:rPr>
      <w:sz w:val="48"/>
      <w:szCs w:val="48"/>
    </w:rPr>
  </w:style>
  <w:style w:type="character" w:styleId="744" w:customStyle="1">
    <w:name w:val="批注主题 字符1"/>
    <w:link w:val="709"/>
    <w:uiPriority w:val="99"/>
    <w:semiHidden/>
    <w:qFormat/>
    <w:rPr>
      <w:b/>
      <w:bCs/>
      <w:sz w:val="21"/>
      <w:szCs w:val="22"/>
    </w:rPr>
  </w:style>
  <w:style w:type="paragraph" w:styleId="745" w:customStyle="1">
    <w:name w:val="正文1"/>
    <w:basedOn w:val="671"/>
    <w:next w:val="671"/>
    <w:uiPriority w:val="0"/>
    <w:qFormat/>
    <w:pPr>
      <w:ind w:left="420" w:firstLine="527"/>
      <w:spacing w:before="120" w:line="360" w:lineRule="auto"/>
    </w:pPr>
    <w:rPr>
      <w:rFonts w:ascii="宋体" w:hAnsi="宋体"/>
      <w:szCs w:val="20"/>
    </w:rPr>
  </w:style>
  <w:style w:type="character" w:styleId="746" w:customStyle="1">
    <w:name w:val="font51"/>
    <w:uiPriority w:val="0"/>
    <w:qFormat/>
    <w:rPr>
      <w:rFonts w:ascii="Arial" w:hAnsi="Arial" w:cs="Arial"/>
      <w:color w:val="000000"/>
      <w:sz w:val="21"/>
      <w:szCs w:val="21"/>
      <w:u w:val="none"/>
    </w:rPr>
  </w:style>
  <w:style w:type="character" w:styleId="747" w:customStyle="1">
    <w:name w:val="font01"/>
    <w:uiPriority w:val="0"/>
    <w:qFormat/>
    <w:rPr>
      <w:rFonts w:hint="eastAsia" w:ascii="宋体" w:hAnsi="宋体" w:eastAsia="宋体" w:cs="宋体"/>
      <w:color w:val="000000"/>
      <w:sz w:val="24"/>
      <w:szCs w:val="24"/>
      <w:u w:val="none"/>
    </w:rPr>
  </w:style>
  <w:style w:type="character" w:styleId="748" w:customStyle="1">
    <w:name w:val="NormalCharacter"/>
    <w:uiPriority w:val="0"/>
    <w:semiHidden/>
    <w:qFormat/>
  </w:style>
  <w:style w:type="character" w:styleId="749" w:customStyle="1">
    <w:name w:val="l-btn-text36"/>
    <w:uiPriority w:val="0"/>
    <w:qFormat/>
    <w:rPr>
      <w:rFonts w:ascii="Times New Roman" w:hAnsi="Times New Roman" w:eastAsia="宋体" w:cs="Times New Roman"/>
    </w:rPr>
  </w:style>
  <w:style w:type="character" w:styleId="750" w:customStyle="1">
    <w:name w:val="正文文本缩进 3 Char"/>
    <w:uiPriority w:val="99"/>
    <w:semiHidden/>
    <w:qFormat/>
    <w:rPr>
      <w:rFonts w:ascii="Times New Roman" w:hAnsi="Times New Roman" w:eastAsia="宋体" w:cs="Times New Roman"/>
      <w:sz w:val="16"/>
      <w:szCs w:val="16"/>
    </w:rPr>
  </w:style>
  <w:style w:type="character" w:styleId="751" w:customStyle="1">
    <w:name w:val="l-btn-text35"/>
    <w:uiPriority w:val="0"/>
    <w:qFormat/>
    <w:rPr>
      <w:rFonts w:ascii="Times New Roman" w:hAnsi="Times New Roman" w:eastAsia="宋体" w:cs="Times New Roman"/>
    </w:rPr>
  </w:style>
  <w:style w:type="character" w:styleId="752" w:customStyle="1">
    <w:name w:val="l-btn-text33"/>
    <w:uiPriority w:val="0"/>
    <w:qFormat/>
    <w:rPr>
      <w:rFonts w:ascii="Times New Roman" w:hAnsi="Times New Roman" w:eastAsia="宋体" w:cs="Times New Roman"/>
    </w:rPr>
  </w:style>
  <w:style w:type="character" w:styleId="753" w:customStyle="1">
    <w:name w:val="l-btn-left"/>
    <w:uiPriority w:val="0"/>
    <w:qFormat/>
    <w:rPr>
      <w:rFonts w:ascii="Times New Roman" w:hAnsi="Times New Roman" w:eastAsia="宋体" w:cs="Times New Roman"/>
    </w:rPr>
  </w:style>
  <w:style w:type="character" w:styleId="754" w:customStyle="1">
    <w:name w:val="layui-this"/>
    <w:uiPriority w:val="0"/>
    <w:qFormat/>
    <w:rPr>
      <w:rFonts w:ascii="Times New Roman" w:hAnsi="Times New Roman" w:eastAsia="宋体" w:cs="Times New Roman"/>
      <w:shd w:val="clear" w:color="auto" w:fill="ffffff"/>
    </w:rPr>
  </w:style>
  <w:style w:type="character" w:styleId="755" w:customStyle="1">
    <w:name w:val="first-child"/>
    <w:uiPriority w:val="0"/>
    <w:qFormat/>
    <w:rPr>
      <w:rFonts w:ascii="Times New Roman" w:hAnsi="Times New Roman" w:eastAsia="宋体" w:cs="Times New Roman"/>
    </w:rPr>
  </w:style>
  <w:style w:type="character" w:styleId="756" w:customStyle="1">
    <w:name w:val="正文文本 Char"/>
    <w:uiPriority w:val="99"/>
    <w:semiHidden/>
    <w:qFormat/>
    <w:rPr>
      <w:rFonts w:ascii="Calibri" w:hAnsi="Calibri" w:eastAsia="宋体" w:cs="Times New Roman"/>
      <w:szCs w:val="24"/>
    </w:rPr>
  </w:style>
  <w:style w:type="character" w:styleId="757" w:customStyle="1">
    <w:name w:val="NormalCharacter1"/>
    <w:uiPriority w:val="0"/>
    <w:qFormat/>
    <w:rPr>
      <w:rFonts w:ascii="Calibri" w:hAnsi="Calibri" w:eastAsia="宋体" w:cs="Times New Roman"/>
      <w:sz w:val="21"/>
      <w:szCs w:val="22"/>
      <w:lang w:val="en-US" w:eastAsia="zh-CN" w:bidi="ar-SA"/>
    </w:rPr>
  </w:style>
  <w:style w:type="character" w:styleId="758" w:customStyle="1">
    <w:name w:val="批注引用1"/>
    <w:uiPriority w:val="99"/>
    <w:unhideWhenUsed/>
    <w:qFormat/>
    <w:rPr>
      <w:sz w:val="21"/>
      <w:szCs w:val="21"/>
    </w:rPr>
  </w:style>
  <w:style w:type="character" w:styleId="759" w:customStyle="1">
    <w:name w:val="超链接1"/>
    <w:uiPriority w:val="99"/>
    <w:unhideWhenUsed/>
    <w:qFormat/>
    <w:rPr>
      <w:rFonts w:ascii="Times New Roman" w:hAnsi="Times New Roman" w:eastAsia="宋体" w:cs="Times New Roman"/>
      <w:color w:val="0066cc"/>
      <w:sz w:val="21"/>
      <w:szCs w:val="21"/>
      <w:u w:val="none"/>
    </w:rPr>
  </w:style>
  <w:style w:type="character" w:styleId="760" w:customStyle="1">
    <w:name w:val="强调1"/>
    <w:uiPriority w:val="20"/>
    <w:qFormat/>
  </w:style>
  <w:style w:type="character" w:styleId="761" w:customStyle="1">
    <w:name w:val="批注主题 字符"/>
    <w:link w:val="762"/>
    <w:uiPriority w:val="99"/>
    <w:semiHidden/>
    <w:qFormat/>
    <w:rPr>
      <w:b/>
      <w:bCs/>
      <w:sz w:val="21"/>
      <w:szCs w:val="22"/>
    </w:rPr>
  </w:style>
  <w:style w:type="paragraph" w:styleId="762" w:customStyle="1">
    <w:name w:val="批注主题1"/>
    <w:basedOn w:val="763"/>
    <w:next w:val="763"/>
    <w:link w:val="761"/>
    <w:uiPriority w:val="99"/>
    <w:unhideWhenUsed/>
    <w:qFormat/>
    <w:rPr>
      <w:b/>
      <w:bCs/>
    </w:rPr>
  </w:style>
  <w:style w:type="paragraph" w:styleId="763" w:customStyle="1">
    <w:name w:val="批注文字1"/>
    <w:basedOn w:val="671"/>
    <w:link w:val="764"/>
    <w:uiPriority w:val="99"/>
    <w:unhideWhenUsed/>
    <w:qFormat/>
    <w:pPr>
      <w:jc w:val="left"/>
    </w:pPr>
  </w:style>
  <w:style w:type="character" w:styleId="764" w:customStyle="1">
    <w:name w:val="批注文字 字符"/>
    <w:link w:val="763"/>
    <w:uiPriority w:val="99"/>
    <w:qFormat/>
    <w:rPr>
      <w:sz w:val="21"/>
      <w:szCs w:val="22"/>
    </w:rPr>
  </w:style>
  <w:style w:type="character" w:styleId="765" w:customStyle="1">
    <w:name w:val="正文文本 字符"/>
    <w:link w:val="766"/>
    <w:uiPriority w:val="99"/>
    <w:qFormat/>
    <w:rPr>
      <w:rFonts w:ascii="Times New Roman" w:hAnsi="Times New Roman" w:eastAsia="宋体" w:cs="Times New Roman"/>
      <w:szCs w:val="24"/>
    </w:rPr>
  </w:style>
  <w:style w:type="paragraph" w:styleId="766" w:customStyle="1">
    <w:name w:val="正文文本1"/>
    <w:basedOn w:val="671"/>
    <w:next w:val="767"/>
    <w:link w:val="765"/>
    <w:uiPriority w:val="99"/>
    <w:unhideWhenUsed/>
    <w:qFormat/>
    <w:pPr>
      <w:spacing w:after="120"/>
    </w:pPr>
    <w:rPr>
      <w:szCs w:val="24"/>
    </w:rPr>
  </w:style>
  <w:style w:type="paragraph" w:styleId="767" w:customStyle="1">
    <w:name w:val="正文缩进1"/>
    <w:next w:val="671"/>
    <w:uiPriority w:val="0"/>
    <w:qFormat/>
    <w:pPr>
      <w:ind w:firstLine="420"/>
      <w:widowControl w:val="off"/>
    </w:pPr>
    <w:rPr>
      <w:rFonts w:hint="default" w:ascii="Times New Roman" w:hAnsi="Times New Roman" w:eastAsia="宋体" w:cs="Times New Roman"/>
      <w:sz w:val="24"/>
      <w:lang w:val="en-US" w:eastAsia="zh-CN" w:bidi="ar-SA"/>
    </w:rPr>
  </w:style>
  <w:style w:type="character" w:styleId="768" w:customStyle="1">
    <w:name w:val="正文缩进 字符"/>
    <w:link w:val="769"/>
    <w:uiPriority w:val="0"/>
    <w:qFormat/>
    <w:rPr>
      <w:rFonts w:ascii="Times New Roman" w:hAnsi="Times New Roman" w:eastAsia="楷体_GB2312" w:cs="Times New Roman"/>
      <w:sz w:val="24"/>
      <w:szCs w:val="20"/>
    </w:rPr>
  </w:style>
  <w:style w:type="paragraph" w:styleId="769" w:customStyle="1">
    <w:name w:val="正文缩进11"/>
    <w:basedOn w:val="671"/>
    <w:link w:val="768"/>
    <w:uiPriority w:val="99"/>
    <w:unhideWhenUsed/>
    <w:qFormat/>
    <w:pPr>
      <w:ind w:firstLine="420"/>
      <w:jc w:val="left"/>
    </w:pPr>
    <w:rPr>
      <w:rFonts w:eastAsia="楷体_GB2312"/>
      <w:sz w:val="24"/>
      <w:szCs w:val="20"/>
    </w:rPr>
  </w:style>
  <w:style w:type="character" w:styleId="770" w:customStyle="1">
    <w:name w:val="默认段落字体1"/>
    <w:uiPriority w:val="1"/>
    <w:unhideWhenUsed/>
    <w:qFormat/>
  </w:style>
  <w:style w:type="character" w:styleId="771" w:customStyle="1">
    <w:name w:val="Footer Char"/>
    <w:uiPriority w:val="99"/>
    <w:qFormat/>
  </w:style>
  <w:style w:type="character" w:styleId="772" w:customStyle="1">
    <w:name w:val="明显引用 字符"/>
    <w:link w:val="773"/>
    <w:uiPriority w:val="30"/>
    <w:qFormat/>
    <w:rPr>
      <w:i/>
    </w:rPr>
  </w:style>
  <w:style w:type="paragraph" w:styleId="773">
    <w:name w:val="Intense Quote"/>
    <w:basedOn w:val="671"/>
    <w:next w:val="671"/>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Footnote Text Char"/>
    <w:uiPriority w:val="99"/>
    <w:qFormat/>
    <w:rPr>
      <w:sz w:val="18"/>
    </w:rPr>
  </w:style>
  <w:style w:type="character" w:styleId="775" w:customStyle="1">
    <w:name w:val="Caption Char"/>
    <w:uiPriority w:val="99"/>
    <w:qFormat/>
  </w:style>
  <w:style w:type="character" w:styleId="776" w:customStyle="1">
    <w:name w:val="Header Char"/>
    <w:uiPriority w:val="99"/>
    <w:qFormat/>
  </w:style>
  <w:style w:type="character" w:styleId="777" w:customStyle="1">
    <w:name w:val="Quote Char"/>
    <w:uiPriority w:val="29"/>
    <w:qFormat/>
    <w:rPr>
      <w:i/>
    </w:rPr>
  </w:style>
  <w:style w:type="character" w:styleId="778" w:customStyle="1">
    <w:name w:val="Title Char"/>
    <w:uiPriority w:val="10"/>
    <w:qFormat/>
    <w:rPr>
      <w:sz w:val="48"/>
      <w:szCs w:val="48"/>
    </w:rPr>
  </w:style>
  <w:style w:type="character" w:styleId="779" w:customStyle="1">
    <w:name w:val="Heading 9 Char"/>
    <w:uiPriority w:val="9"/>
    <w:qFormat/>
    <w:rPr>
      <w:rFonts w:ascii="Arial" w:hAnsi="Arial" w:eastAsia="Arial" w:cs="Arial"/>
      <w:i/>
      <w:iCs/>
      <w:sz w:val="21"/>
      <w:szCs w:val="21"/>
    </w:rPr>
  </w:style>
  <w:style w:type="character" w:styleId="780" w:customStyle="1">
    <w:name w:val="Heading 8 Char"/>
    <w:uiPriority w:val="9"/>
    <w:qFormat/>
    <w:rPr>
      <w:rFonts w:ascii="Arial" w:hAnsi="Arial" w:eastAsia="Arial" w:cs="Arial"/>
      <w:i/>
      <w:iCs/>
      <w:sz w:val="22"/>
      <w:szCs w:val="22"/>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5 Char"/>
    <w:uiPriority w:val="9"/>
    <w:qFormat/>
    <w:rPr>
      <w:rFonts w:ascii="Arial" w:hAnsi="Arial" w:eastAsia="Arial" w:cs="Arial"/>
      <w:b/>
      <w:bCs/>
      <w:sz w:val="24"/>
      <w:szCs w:val="24"/>
    </w:rPr>
  </w:style>
  <w:style w:type="character" w:styleId="783" w:customStyle="1">
    <w:name w:val="Heading 3 Char"/>
    <w:uiPriority w:val="9"/>
    <w:qFormat/>
    <w:rPr>
      <w:rFonts w:ascii="Arial" w:hAnsi="Arial" w:eastAsia="Arial" w:cs="Arial"/>
      <w:sz w:val="30"/>
      <w:szCs w:val="30"/>
    </w:rPr>
  </w:style>
  <w:style w:type="character" w:styleId="784" w:customStyle="1">
    <w:name w:val="Heading 1 Char"/>
    <w:uiPriority w:val="9"/>
    <w:qFormat/>
    <w:rPr>
      <w:rFonts w:ascii="Arial" w:hAnsi="Arial" w:eastAsia="Arial" w:cs="Arial"/>
      <w:sz w:val="40"/>
      <w:szCs w:val="40"/>
    </w:rPr>
  </w:style>
  <w:style w:type="character" w:styleId="785" w:customStyle="1">
    <w:name w:val="页眉 字符"/>
    <w:link w:val="786"/>
    <w:uiPriority w:val="99"/>
    <w:qFormat/>
  </w:style>
  <w:style w:type="paragraph" w:styleId="786" w:customStyle="1">
    <w:name w:val="页眉1"/>
    <w:basedOn w:val="671"/>
    <w:link w:val="785"/>
    <w:uiPriority w:val="99"/>
    <w:unhideWhenUsed/>
    <w:qFormat/>
    <w:pPr>
      <w:tabs>
        <w:tab w:val="center" w:pos="7143" w:leader="none"/>
        <w:tab w:val="right" w:pos="14287" w:leader="none"/>
      </w:tabs>
    </w:pPr>
  </w:style>
  <w:style w:type="character" w:styleId="787" w:customStyle="1">
    <w:name w:val="页脚 字符"/>
    <w:link w:val="788"/>
    <w:uiPriority w:val="99"/>
    <w:qFormat/>
  </w:style>
  <w:style w:type="paragraph" w:styleId="788" w:customStyle="1">
    <w:name w:val="页脚1"/>
    <w:basedOn w:val="671"/>
    <w:link w:val="787"/>
    <w:uiPriority w:val="99"/>
    <w:unhideWhenUsed/>
    <w:qFormat/>
    <w:pPr>
      <w:tabs>
        <w:tab w:val="center" w:pos="7143" w:leader="none"/>
        <w:tab w:val="right" w:pos="14287" w:leader="none"/>
      </w:tabs>
    </w:pPr>
  </w:style>
  <w:style w:type="character" w:styleId="789" w:customStyle="1">
    <w:name w:val="标题 9 字符"/>
    <w:link w:val="790"/>
    <w:uiPriority w:val="9"/>
    <w:qFormat/>
    <w:rPr>
      <w:rFonts w:ascii="Arial" w:hAnsi="Arial" w:eastAsia="Arial" w:cs="Arial"/>
      <w:i/>
      <w:iCs/>
      <w:sz w:val="21"/>
      <w:szCs w:val="21"/>
    </w:rPr>
  </w:style>
  <w:style w:type="paragraph" w:styleId="790" w:customStyle="1">
    <w:name w:val="标题 91"/>
    <w:basedOn w:val="671"/>
    <w:next w:val="671"/>
    <w:link w:val="789"/>
    <w:uiPriority w:val="9"/>
    <w:unhideWhenUsed/>
    <w:qFormat/>
    <w:pPr>
      <w:keepLines/>
      <w:keepNext/>
      <w:spacing w:before="320" w:after="200"/>
      <w:outlineLvl w:val="8"/>
    </w:pPr>
    <w:rPr>
      <w:rFonts w:ascii="Arial" w:hAnsi="Arial" w:eastAsia="Arial" w:cs="Arial"/>
      <w:i/>
      <w:iCs/>
      <w:szCs w:val="21"/>
    </w:rPr>
  </w:style>
  <w:style w:type="character" w:styleId="791" w:customStyle="1">
    <w:name w:val="标题 8 字符"/>
    <w:link w:val="792"/>
    <w:uiPriority w:val="9"/>
    <w:qFormat/>
    <w:rPr>
      <w:rFonts w:ascii="Arial" w:hAnsi="Arial" w:eastAsia="Arial" w:cs="Arial"/>
      <w:i/>
      <w:iCs/>
      <w:sz w:val="22"/>
      <w:szCs w:val="22"/>
    </w:rPr>
  </w:style>
  <w:style w:type="paragraph" w:styleId="792" w:customStyle="1">
    <w:name w:val="标题 81"/>
    <w:basedOn w:val="671"/>
    <w:next w:val="671"/>
    <w:link w:val="791"/>
    <w:uiPriority w:val="9"/>
    <w:unhideWhenUsed/>
    <w:qFormat/>
    <w:pPr>
      <w:keepLines/>
      <w:keepNext/>
      <w:spacing w:before="320" w:after="200"/>
      <w:outlineLvl w:val="7"/>
    </w:pPr>
    <w:rPr>
      <w:rFonts w:ascii="Arial" w:hAnsi="Arial" w:eastAsia="Arial" w:cs="Arial"/>
      <w:i/>
      <w:iCs/>
      <w:sz w:val="22"/>
    </w:rPr>
  </w:style>
  <w:style w:type="character" w:styleId="793" w:customStyle="1">
    <w:name w:val="页码1"/>
    <w:uiPriority w:val="99"/>
    <w:unhideWhenUsed/>
    <w:qFormat/>
    <w:rPr>
      <w:rFonts w:ascii="Tahoma" w:hAnsi="Tahoma" w:eastAsia="宋体" w:cs="Times New Roman"/>
      <w:sz w:val="24"/>
      <w:szCs w:val="24"/>
      <w:lang w:val="en-US" w:eastAsia="zh-CN" w:bidi="ar-SA"/>
    </w:rPr>
  </w:style>
  <w:style w:type="character" w:styleId="794" w:customStyle="1">
    <w:name w:val="标题 5 字符"/>
    <w:link w:val="795"/>
    <w:uiPriority w:val="9"/>
    <w:qFormat/>
    <w:rPr>
      <w:rFonts w:ascii="Arial" w:hAnsi="Arial" w:eastAsia="Arial" w:cs="Arial"/>
      <w:b/>
      <w:bCs/>
      <w:sz w:val="24"/>
      <w:szCs w:val="24"/>
    </w:rPr>
  </w:style>
  <w:style w:type="paragraph" w:styleId="795" w:customStyle="1">
    <w:name w:val="标题 51"/>
    <w:basedOn w:val="671"/>
    <w:next w:val="671"/>
    <w:link w:val="794"/>
    <w:uiPriority w:val="9"/>
    <w:unhideWhenUsed/>
    <w:qFormat/>
    <w:pPr>
      <w:keepLines/>
      <w:keepNext/>
      <w:spacing w:before="320" w:after="200"/>
      <w:outlineLvl w:val="4"/>
    </w:pPr>
    <w:rPr>
      <w:rFonts w:ascii="Arial" w:hAnsi="Arial" w:eastAsia="Arial" w:cs="Arial"/>
      <w:b/>
      <w:bCs/>
      <w:sz w:val="24"/>
      <w:szCs w:val="24"/>
    </w:rPr>
  </w:style>
  <w:style w:type="character" w:styleId="796" w:customStyle="1">
    <w:name w:val="标题 4 字符"/>
    <w:link w:val="797"/>
    <w:uiPriority w:val="9"/>
    <w:qFormat/>
    <w:rPr>
      <w:rFonts w:ascii="Arial" w:hAnsi="Arial" w:eastAsia="Arial" w:cs="Arial"/>
      <w:b/>
      <w:bCs/>
      <w:sz w:val="26"/>
      <w:szCs w:val="26"/>
    </w:rPr>
  </w:style>
  <w:style w:type="paragraph" w:styleId="797" w:customStyle="1">
    <w:name w:val="标题 41"/>
    <w:basedOn w:val="671"/>
    <w:next w:val="671"/>
    <w:link w:val="796"/>
    <w:uiPriority w:val="9"/>
    <w:unhideWhenUsed/>
    <w:qFormat/>
    <w:pPr>
      <w:keepLines/>
      <w:keepNext/>
      <w:spacing w:before="320" w:after="200"/>
      <w:outlineLvl w:val="3"/>
    </w:pPr>
    <w:rPr>
      <w:rFonts w:ascii="Arial" w:hAnsi="Arial" w:eastAsia="Arial" w:cs="Arial"/>
      <w:b/>
      <w:bCs/>
      <w:sz w:val="26"/>
      <w:szCs w:val="26"/>
    </w:rPr>
  </w:style>
  <w:style w:type="character" w:styleId="798" w:customStyle="1">
    <w:name w:val="标题 3 字符"/>
    <w:link w:val="799"/>
    <w:uiPriority w:val="9"/>
    <w:qFormat/>
    <w:rPr>
      <w:rFonts w:ascii="Arial" w:hAnsi="Arial" w:eastAsia="Arial" w:cs="Arial"/>
      <w:sz w:val="30"/>
      <w:szCs w:val="30"/>
    </w:rPr>
  </w:style>
  <w:style w:type="paragraph" w:styleId="799" w:customStyle="1">
    <w:name w:val="标题 31"/>
    <w:basedOn w:val="671"/>
    <w:next w:val="671"/>
    <w:link w:val="798"/>
    <w:uiPriority w:val="9"/>
    <w:unhideWhenUsed/>
    <w:qFormat/>
    <w:pPr>
      <w:keepLines/>
      <w:keepNext/>
      <w:spacing w:before="320" w:after="200"/>
      <w:outlineLvl w:val="2"/>
    </w:pPr>
    <w:rPr>
      <w:rFonts w:ascii="Arial" w:hAnsi="Arial" w:eastAsia="Arial" w:cs="Arial"/>
      <w:sz w:val="30"/>
      <w:szCs w:val="30"/>
    </w:rPr>
  </w:style>
  <w:style w:type="character" w:styleId="800" w:customStyle="1">
    <w:name w:val="标题 2 字符"/>
    <w:link w:val="801"/>
    <w:uiPriority w:val="9"/>
    <w:qFormat/>
    <w:rPr>
      <w:rFonts w:ascii="宋体" w:hAnsi="宋体" w:cs="宋体"/>
      <w:b/>
      <w:sz w:val="21"/>
      <w:szCs w:val="21"/>
    </w:rPr>
  </w:style>
  <w:style w:type="paragraph" w:styleId="801" w:customStyle="1">
    <w:name w:val="标题 21"/>
    <w:basedOn w:val="671"/>
    <w:next w:val="671"/>
    <w:link w:val="800"/>
    <w:uiPriority w:val="9"/>
    <w:unhideWhenUsed/>
    <w:qFormat/>
    <w:pPr>
      <w:ind w:firstLine="422"/>
      <w:keepLines/>
      <w:keepNext/>
      <w:spacing w:line="360" w:lineRule="auto"/>
      <w:outlineLvl w:val="1"/>
    </w:pPr>
    <w:rPr>
      <w:rFonts w:ascii="宋体" w:hAnsi="宋体" w:cs="宋体"/>
      <w:b/>
      <w:szCs w:val="21"/>
    </w:rPr>
  </w:style>
  <w:style w:type="character" w:styleId="802" w:customStyle="1">
    <w:name w:val="已访问的超链接1"/>
    <w:uiPriority w:val="99"/>
    <w:unhideWhenUsed/>
    <w:qFormat/>
    <w:rPr>
      <w:color w:val="333333"/>
      <w:u w:val="none"/>
    </w:rPr>
  </w:style>
  <w:style w:type="character" w:styleId="803" w:customStyle="1">
    <w:name w:val="标题 1 字符"/>
    <w:link w:val="804"/>
    <w:uiPriority w:val="9"/>
    <w:qFormat/>
    <w:rPr>
      <w:rFonts w:ascii="Arial" w:hAnsi="Arial" w:eastAsia="Arial" w:cs="Arial"/>
      <w:sz w:val="40"/>
      <w:szCs w:val="40"/>
    </w:rPr>
  </w:style>
  <w:style w:type="paragraph" w:styleId="804" w:customStyle="1">
    <w:name w:val="标题 11"/>
    <w:basedOn w:val="671"/>
    <w:next w:val="671"/>
    <w:link w:val="803"/>
    <w:uiPriority w:val="9"/>
    <w:qFormat/>
    <w:pPr>
      <w:keepLines/>
      <w:keepNext/>
      <w:spacing w:before="480" w:after="200"/>
      <w:outlineLvl w:val="0"/>
    </w:pPr>
    <w:rPr>
      <w:rFonts w:ascii="Arial" w:hAnsi="Arial" w:eastAsia="Arial" w:cs="Arial"/>
      <w:sz w:val="40"/>
      <w:szCs w:val="40"/>
    </w:rPr>
  </w:style>
  <w:style w:type="character" w:styleId="805" w:customStyle="1">
    <w:name w:val="Endnote Text Char"/>
    <w:uiPriority w:val="99"/>
    <w:qFormat/>
    <w:rPr>
      <w:sz w:val="20"/>
    </w:rPr>
  </w:style>
  <w:style w:type="character" w:styleId="806" w:customStyle="1">
    <w:name w:val="Heading 2 Char"/>
    <w:uiPriority w:val="9"/>
    <w:qFormat/>
    <w:rPr>
      <w:rFonts w:ascii="Arial" w:hAnsi="Arial" w:eastAsia="Arial" w:cs="Arial"/>
      <w:sz w:val="34"/>
    </w:rPr>
  </w:style>
  <w:style w:type="character" w:styleId="807" w:customStyle="1">
    <w:name w:val="标题 7 字符"/>
    <w:link w:val="808"/>
    <w:uiPriority w:val="9"/>
    <w:qFormat/>
    <w:rPr>
      <w:rFonts w:ascii="Arial" w:hAnsi="Arial" w:eastAsia="Arial" w:cs="Arial"/>
      <w:b/>
      <w:bCs/>
      <w:i/>
      <w:iCs/>
      <w:sz w:val="22"/>
      <w:szCs w:val="22"/>
    </w:rPr>
  </w:style>
  <w:style w:type="paragraph" w:styleId="808" w:customStyle="1">
    <w:name w:val="标题 71"/>
    <w:basedOn w:val="671"/>
    <w:next w:val="671"/>
    <w:link w:val="807"/>
    <w:uiPriority w:val="9"/>
    <w:unhideWhenUsed/>
    <w:qFormat/>
    <w:pPr>
      <w:keepLines/>
      <w:keepNext/>
      <w:spacing w:before="320" w:after="200"/>
      <w:outlineLvl w:val="6"/>
    </w:pPr>
    <w:rPr>
      <w:rFonts w:ascii="Arial" w:hAnsi="Arial" w:eastAsia="Arial" w:cs="Arial"/>
      <w:b/>
      <w:bCs/>
      <w:i/>
      <w:iCs/>
      <w:sz w:val="22"/>
    </w:rPr>
  </w:style>
  <w:style w:type="character" w:styleId="809" w:customStyle="1">
    <w:name w:val="要点1"/>
    <w:uiPriority w:val="0"/>
    <w:qFormat/>
    <w:rPr>
      <w:rFonts w:hint="default"/>
      <w:sz w:val="21"/>
      <w:szCs w:val="22"/>
      <w:lang w:eastAsia="zh-CN"/>
    </w:rPr>
  </w:style>
  <w:style w:type="character" w:styleId="810" w:customStyle="1">
    <w:name w:val="正文文本缩进 3 字符"/>
    <w:link w:val="811"/>
    <w:uiPriority w:val="0"/>
    <w:qFormat/>
    <w:rPr>
      <w:rFonts w:ascii="Times New Roman" w:hAnsi="Times New Roman" w:eastAsia="宋体" w:cs="Times New Roman"/>
      <w:sz w:val="24"/>
    </w:rPr>
  </w:style>
  <w:style w:type="paragraph" w:styleId="811" w:customStyle="1">
    <w:name w:val="正文文本缩进 31"/>
    <w:basedOn w:val="671"/>
    <w:link w:val="810"/>
    <w:uiPriority w:val="99"/>
    <w:unhideWhenUsed/>
    <w:qFormat/>
    <w:pPr>
      <w:ind w:firstLine="480"/>
      <w:jc w:val="left"/>
      <w:spacing w:line="440" w:lineRule="atLeast"/>
    </w:pPr>
    <w:rPr>
      <w:sz w:val="24"/>
      <w:szCs w:val="24"/>
    </w:rPr>
  </w:style>
  <w:style w:type="character" w:styleId="812" w:customStyle="1">
    <w:name w:val="引用 字符"/>
    <w:link w:val="813"/>
    <w:uiPriority w:val="29"/>
    <w:qFormat/>
    <w:rPr>
      <w:i/>
    </w:rPr>
  </w:style>
  <w:style w:type="paragraph" w:styleId="813">
    <w:name w:val="Quote"/>
    <w:basedOn w:val="671"/>
    <w:next w:val="671"/>
    <w:link w:val="812"/>
    <w:uiPriority w:val="29"/>
    <w:qFormat/>
    <w:pPr>
      <w:ind w:left="720" w:right="720"/>
    </w:pPr>
    <w:rPr>
      <w:i/>
    </w:rPr>
  </w:style>
  <w:style w:type="character" w:styleId="814" w:customStyle="1">
    <w:name w:val="font21"/>
    <w:uiPriority w:val="0"/>
    <w:qFormat/>
    <w:rPr>
      <w:rFonts w:hint="eastAsia" w:ascii="宋体" w:hAnsi="宋体" w:eastAsia="宋体" w:cs="宋体"/>
      <w:color w:val="000000"/>
      <w:sz w:val="21"/>
      <w:szCs w:val="21"/>
      <w:u w:val="none"/>
    </w:rPr>
  </w:style>
  <w:style w:type="character" w:styleId="815" w:customStyle="1">
    <w:name w:val="Subtitle Char"/>
    <w:uiPriority w:val="11"/>
    <w:qFormat/>
    <w:rPr>
      <w:sz w:val="24"/>
      <w:szCs w:val="24"/>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Intense Quote Char"/>
    <w:uiPriority w:val="30"/>
    <w:qFormat/>
    <w:rPr>
      <w:i/>
    </w:rPr>
  </w:style>
  <w:style w:type="character" w:styleId="818" w:customStyle="1">
    <w:name w:val="标题 6 字符"/>
    <w:link w:val="819"/>
    <w:uiPriority w:val="9"/>
    <w:qFormat/>
    <w:rPr>
      <w:rFonts w:ascii="Arial" w:hAnsi="Arial" w:eastAsia="Arial" w:cs="Arial"/>
      <w:b/>
      <w:bCs/>
      <w:sz w:val="22"/>
      <w:szCs w:val="22"/>
    </w:rPr>
  </w:style>
  <w:style w:type="paragraph" w:styleId="819" w:customStyle="1">
    <w:name w:val="标题 61"/>
    <w:basedOn w:val="671"/>
    <w:next w:val="671"/>
    <w:link w:val="818"/>
    <w:uiPriority w:val="9"/>
    <w:unhideWhenUsed/>
    <w:qFormat/>
    <w:pPr>
      <w:keepLines/>
      <w:keepNext/>
      <w:spacing w:before="320" w:after="200"/>
      <w:outlineLvl w:val="5"/>
    </w:pPr>
    <w:rPr>
      <w:rFonts w:ascii="Arial" w:hAnsi="Arial" w:eastAsia="Arial" w:cs="Arial"/>
      <w:b/>
      <w:bCs/>
      <w:sz w:val="22"/>
    </w:rPr>
  </w:style>
  <w:style w:type="character" w:styleId="820" w:customStyle="1">
    <w:name w:val="l-btn-text"/>
    <w:uiPriority w:val="0"/>
    <w:qFormat/>
    <w:rPr>
      <w:rFonts w:ascii="Times New Roman" w:hAnsi="Times New Roman" w:eastAsia="宋体" w:cs="Times New Roman"/>
    </w:rPr>
  </w:style>
  <w:style w:type="character" w:styleId="821" w:customStyle="1">
    <w:name w:val="Heading 4 Char"/>
    <w:uiPriority w:val="9"/>
    <w:qFormat/>
    <w:rPr>
      <w:rFonts w:ascii="Arial" w:hAnsi="Arial" w:eastAsia="Arial" w:cs="Arial"/>
      <w:b/>
      <w:bCs/>
      <w:sz w:val="26"/>
      <w:szCs w:val="26"/>
    </w:rPr>
  </w:style>
  <w:style w:type="paragraph" w:styleId="822" w:customStyle="1">
    <w:name w:val="Heading 1"/>
    <w:basedOn w:val="671"/>
    <w:next w:val="671"/>
    <w:uiPriority w:val="0"/>
    <w:qFormat/>
    <w:pPr>
      <w:keepLines/>
      <w:keepNext/>
      <w:spacing w:before="340" w:after="330" w:line="578" w:lineRule="auto"/>
    </w:pPr>
    <w:rPr>
      <w:b/>
      <w:sz w:val="44"/>
    </w:rPr>
  </w:style>
  <w:style w:type="paragraph" w:styleId="823" w:customStyle="1">
    <w:name w:val="纯文本1"/>
    <w:basedOn w:val="671"/>
    <w:uiPriority w:val="0"/>
    <w:qFormat/>
    <w:rPr>
      <w:rFonts w:ascii="宋体" w:hAnsi="Courier New" w:eastAsia="楷体_GB2312"/>
      <w:sz w:val="28"/>
      <w:szCs w:val="20"/>
    </w:rPr>
  </w:style>
  <w:style w:type="paragraph" w:styleId="824" w:customStyle="1">
    <w:name w:val="Plain Text1"/>
    <w:basedOn w:val="671"/>
    <w:uiPriority w:val="0"/>
    <w:qFormat/>
    <w:rPr>
      <w:rFonts w:ascii="宋体" w:hAnsi="Courier New"/>
    </w:rPr>
  </w:style>
  <w:style w:type="paragraph" w:styleId="825"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826" w:customStyle="1">
    <w:name w:val="Table Text"/>
    <w:basedOn w:val="671"/>
    <w:uiPriority w:val="0"/>
    <w:semiHidden/>
    <w:qFormat/>
    <w:rPr>
      <w:rFonts w:ascii="宋体" w:hAnsi="宋体" w:cs="宋体"/>
      <w:sz w:val="20"/>
      <w:szCs w:val="20"/>
      <w:lang w:eastAsia="en-US"/>
    </w:rPr>
  </w:style>
  <w:style w:type="paragraph" w:styleId="827" w:customStyle="1">
    <w:name w:val="修订5"/>
    <w:uiPriority w:val="99"/>
    <w:unhideWhenUsed/>
    <w:qFormat/>
    <w:rPr>
      <w:rFonts w:hint="default" w:ascii="Times New Roman" w:hAnsi="Times New Roman" w:eastAsia="宋体" w:cs="Times New Roman"/>
      <w:sz w:val="21"/>
      <w:szCs w:val="22"/>
      <w:lang w:val="en-US" w:eastAsia="zh-CN" w:bidi="ar-SA"/>
    </w:rPr>
  </w:style>
  <w:style w:type="paragraph" w:styleId="828" w:customStyle="1">
    <w:name w:val="Table Paragraph"/>
    <w:basedOn w:val="671"/>
    <w:uiPriority w:val="1"/>
    <w:qFormat/>
  </w:style>
  <w:style w:type="paragraph" w:styleId="829" w:customStyle="1">
    <w:name w:val="WPSOffice手动目录 1"/>
    <w:uiPriority w:val="0"/>
    <w:qFormat/>
    <w:rPr>
      <w:rFonts w:hint="default" w:ascii="Times New Roman" w:hAnsi="Times New Roman" w:eastAsia="宋体" w:cs="Times New Roman"/>
      <w:lang w:val="en-US" w:eastAsia="zh-CN" w:bidi="ar-SA"/>
    </w:rPr>
  </w:style>
  <w:style w:type="paragraph" w:styleId="830" w:customStyle="1">
    <w:name w:val="UserStyle_62"/>
    <w:basedOn w:val="671"/>
    <w:uiPriority w:val="0"/>
    <w:qFormat/>
    <w:rPr>
      <w:rFonts w:ascii="宋体" w:hAnsi="Courier New"/>
    </w:rPr>
  </w:style>
  <w:style w:type="paragraph" w:styleId="831"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832" w:customStyle="1">
    <w:name w:val="修订2"/>
    <w:uiPriority w:val="99"/>
    <w:unhideWhenUsed/>
    <w:qFormat/>
    <w:rPr>
      <w:rFonts w:hint="default" w:ascii="Times New Roman" w:hAnsi="Times New Roman" w:eastAsia="宋体" w:cs="Times New Roman"/>
      <w:sz w:val="21"/>
      <w:szCs w:val="22"/>
      <w:lang w:val="en-US" w:eastAsia="zh-CN" w:bidi="ar-SA"/>
    </w:rPr>
  </w:style>
  <w:style w:type="paragraph" w:styleId="833"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customStyle="1">
    <w:name w:val="纯文本4"/>
    <w:basedOn w:val="671"/>
    <w:uiPriority w:val="0"/>
    <w:qFormat/>
    <w:rPr>
      <w:rFonts w:ascii="宋体" w:hAnsi="Courier New" w:eastAsia="楷体_GB2312"/>
      <w:sz w:val="26"/>
      <w:szCs w:val="20"/>
    </w:rPr>
  </w:style>
  <w:style w:type="paragraph" w:styleId="836" w:customStyle="1">
    <w:name w:val="纯文本2"/>
    <w:basedOn w:val="671"/>
    <w:uiPriority w:val="0"/>
    <w:qFormat/>
    <w:rPr>
      <w:rFonts w:ascii="宋体" w:hAnsi="Courier New"/>
      <w:szCs w:val="24"/>
    </w:rPr>
  </w:style>
  <w:style w:type="paragraph" w:styleId="837" w:customStyle="1">
    <w:name w:val="正文首行缩进 21"/>
    <w:basedOn w:val="838"/>
    <w:uiPriority w:val="99"/>
    <w:unhideWhenUsed/>
    <w:qFormat/>
    <w:pPr>
      <w:ind w:firstLine="420"/>
    </w:pPr>
    <w:rPr>
      <w:rFonts w:ascii="Calibri" w:hAnsi="Calibri"/>
    </w:rPr>
  </w:style>
  <w:style w:type="paragraph" w:styleId="838" w:customStyle="1">
    <w:name w:val="正文文本缩进1"/>
    <w:next w:val="67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39" w:customStyle="1">
    <w:name w:val="普通(网站)1"/>
    <w:basedOn w:val="671"/>
    <w:uiPriority w:val="99"/>
    <w:qFormat/>
    <w:pPr>
      <w:jc w:val="center"/>
      <w:spacing w:before="75" w:after="75"/>
    </w:pPr>
    <w:rPr>
      <w:sz w:val="24"/>
      <w:szCs w:val="24"/>
    </w:rPr>
  </w:style>
  <w:style w:type="paragraph" w:styleId="840" w:customStyle="1">
    <w:name w:val="目录 21"/>
    <w:basedOn w:val="671"/>
    <w:next w:val="671"/>
    <w:uiPriority w:val="39"/>
    <w:qFormat/>
    <w:pPr>
      <w:ind w:left="200"/>
      <w:spacing w:line="360" w:lineRule="auto"/>
    </w:pPr>
  </w:style>
  <w:style w:type="paragraph" w:styleId="841" w:customStyle="1">
    <w:name w:val="页眉11"/>
    <w:basedOn w:val="671"/>
    <w:uiPriority w:val="99"/>
    <w:unhideWhenUsed/>
    <w:qFormat/>
    <w:pPr>
      <w:tabs>
        <w:tab w:val="center" w:pos="4153" w:leader="none"/>
        <w:tab w:val="right" w:pos="8306" w:leader="none"/>
      </w:tabs>
    </w:pPr>
    <w:rPr>
      <w:sz w:val="18"/>
    </w:rPr>
  </w:style>
  <w:style w:type="paragraph" w:styleId="842" w:customStyle="1">
    <w:name w:val="首行缩进"/>
    <w:basedOn w:val="671"/>
    <w:uiPriority w:val="0"/>
    <w:qFormat/>
    <w:pPr>
      <w:ind w:firstLine="480"/>
    </w:pPr>
    <w:rPr>
      <w:szCs w:val="20"/>
      <w:lang w:val="zh-CN"/>
    </w:rPr>
  </w:style>
  <w:style w:type="paragraph" w:styleId="843" w:customStyle="1">
    <w:name w:val="页脚11"/>
    <w:basedOn w:val="671"/>
    <w:uiPriority w:val="99"/>
    <w:unhideWhenUsed/>
    <w:qFormat/>
    <w:pPr>
      <w:jc w:val="left"/>
      <w:tabs>
        <w:tab w:val="center" w:pos="4153" w:leader="none"/>
        <w:tab w:val="right" w:pos="8306" w:leader="none"/>
      </w:tabs>
    </w:pPr>
    <w:rPr>
      <w:sz w:val="18"/>
      <w:szCs w:val="18"/>
    </w:rPr>
  </w:style>
  <w:style w:type="paragraph" w:styleId="844" w:customStyle="1">
    <w:name w:val="日期1"/>
    <w:basedOn w:val="671"/>
    <w:next w:val="671"/>
    <w:uiPriority w:val="0"/>
    <w:qFormat/>
    <w:pPr>
      <w:ind w:left="100"/>
    </w:pPr>
  </w:style>
  <w:style w:type="paragraph" w:styleId="845" w:customStyle="1">
    <w:name w:val="寄信人地址11"/>
    <w:basedOn w:val="671"/>
    <w:uiPriority w:val="0"/>
    <w:qFormat/>
    <w:rPr>
      <w:sz w:val="26"/>
      <w:szCs w:val="24"/>
    </w:rPr>
  </w:style>
  <w:style w:type="paragraph" w:styleId="846" w:customStyle="1">
    <w:name w:val="标题 411"/>
    <w:basedOn w:val="671"/>
    <w:next w:val="671"/>
    <w:uiPriority w:val="9"/>
    <w:qFormat/>
    <w:pPr>
      <w:keepLines/>
      <w:keepNext/>
      <w:spacing w:before="280" w:after="290" w:line="376" w:lineRule="auto"/>
      <w:outlineLvl w:val="3"/>
    </w:pPr>
    <w:rPr>
      <w:rFonts w:ascii="Cambria" w:hAnsi="Cambria"/>
      <w:b/>
      <w:bCs/>
      <w:sz w:val="28"/>
      <w:szCs w:val="28"/>
    </w:rPr>
  </w:style>
  <w:style w:type="paragraph" w:styleId="847" w:customStyle="1">
    <w:name w:val="标题 311"/>
    <w:basedOn w:val="671"/>
    <w:next w:val="671"/>
    <w:uiPriority w:val="0"/>
    <w:qFormat/>
    <w:pPr>
      <w:keepLines/>
      <w:keepNext/>
      <w:spacing w:line="360" w:lineRule="auto"/>
      <w:outlineLvl w:val="2"/>
    </w:pPr>
    <w:rPr>
      <w:b/>
      <w:bCs/>
      <w:szCs w:val="32"/>
    </w:rPr>
  </w:style>
  <w:style w:type="paragraph" w:styleId="848" w:customStyle="1">
    <w:name w:val="标题 211"/>
    <w:basedOn w:val="671"/>
    <w:next w:val="671"/>
    <w:uiPriority w:val="9"/>
    <w:qFormat/>
    <w:pPr>
      <w:keepLines/>
      <w:keepNext/>
      <w:spacing w:line="360" w:lineRule="auto"/>
      <w:outlineLvl w:val="1"/>
    </w:pPr>
    <w:rPr>
      <w:rFonts w:ascii="Arial" w:hAnsi="Arial"/>
      <w:b/>
      <w:bCs/>
      <w:sz w:val="24"/>
      <w:szCs w:val="32"/>
    </w:rPr>
  </w:style>
  <w:style w:type="paragraph" w:styleId="849" w:customStyle="1">
    <w:name w:val="标题 111"/>
    <w:basedOn w:val="671"/>
    <w:next w:val="671"/>
    <w:uiPriority w:val="0"/>
    <w:qFormat/>
    <w:pPr>
      <w:jc w:val="center"/>
      <w:keepLines/>
      <w:keepNext/>
      <w:spacing w:line="360" w:lineRule="auto"/>
      <w:outlineLvl w:val="0"/>
    </w:pPr>
    <w:rPr>
      <w:rFonts w:eastAsia="黑体"/>
      <w:b/>
      <w:bCs/>
      <w:sz w:val="32"/>
      <w:szCs w:val="44"/>
    </w:rPr>
  </w:style>
  <w:style w:type="paragraph" w:styleId="850" w:customStyle="1">
    <w:name w:val="TOC 标题11"/>
    <w:uiPriority w:val="39"/>
    <w:unhideWhenUsed/>
    <w:qFormat/>
    <w:rPr>
      <w:rFonts w:hint="default" w:ascii="Times New Roman" w:hAnsi="Times New Roman" w:eastAsia="宋体" w:cs="Times New Roman"/>
      <w:lang w:val="en-US" w:eastAsia="zh-CN" w:bidi="ar-SA"/>
    </w:rPr>
  </w:style>
  <w:style w:type="paragraph" w:styleId="851">
    <w:name w:val="No Spacing"/>
    <w:uiPriority w:val="1"/>
    <w:qFormat/>
    <w:rPr>
      <w:rFonts w:hint="default" w:ascii="Times New Roman" w:hAnsi="Times New Roman" w:eastAsia="宋体" w:cs="Times New Roman"/>
      <w:lang w:val="en-US" w:eastAsia="zh-CN" w:bidi="ar-SA"/>
    </w:rPr>
  </w:style>
  <w:style w:type="paragraph" w:styleId="852">
    <w:name w:val="List Paragraph"/>
    <w:basedOn w:val="671"/>
    <w:uiPriority w:val="34"/>
    <w:qFormat/>
    <w:pPr>
      <w:contextualSpacing/>
      <w:ind w:left="720"/>
    </w:pPr>
  </w:style>
  <w:style w:type="paragraph" w:styleId="853" w:customStyle="1">
    <w:name w:val="TOC 标题111"/>
    <w:uiPriority w:val="39"/>
    <w:unhideWhenUsed/>
    <w:qFormat/>
    <w:rPr>
      <w:rFonts w:hint="default" w:ascii="Times New Roman" w:hAnsi="Times New Roman" w:eastAsia="宋体" w:cs="Times New Roman"/>
      <w:lang w:val="en-US" w:eastAsia="zh-CN" w:bidi="ar-SA"/>
    </w:rPr>
  </w:style>
  <w:style w:type="paragraph" w:styleId="854" w:customStyle="1">
    <w:name w:val="TOC 标题1"/>
    <w:uiPriority w:val="39"/>
    <w:unhideWhenUsed/>
    <w:qFormat/>
    <w:rPr>
      <w:rFonts w:hint="default" w:ascii="Times New Roman" w:hAnsi="Times New Roman" w:eastAsia="宋体" w:cs="Times New Roman"/>
      <w:lang w:val="en-US" w:eastAsia="zh-CN" w:bidi="ar-SA"/>
    </w:rPr>
  </w:style>
  <w:style w:type="paragraph" w:styleId="855" w:customStyle="1">
    <w:name w:val="修订4"/>
    <w:uiPriority w:val="99"/>
    <w:unhideWhenUsed/>
    <w:qFormat/>
    <w:rPr>
      <w:rFonts w:hint="default" w:ascii="Times New Roman" w:hAnsi="Times New Roman" w:eastAsia="宋体" w:cs="Times New Roman"/>
      <w:sz w:val="21"/>
      <w:szCs w:val="22"/>
      <w:lang w:val="en-US" w:eastAsia="zh-CN" w:bidi="ar-SA"/>
    </w:rPr>
  </w:style>
  <w:style w:type="paragraph" w:styleId="856" w:customStyle="1">
    <w:name w:val="_Style 156"/>
    <w:uiPriority w:val="39"/>
    <w:qFormat/>
    <w:rPr>
      <w:rFonts w:hint="default" w:ascii="Times New Roman" w:hAnsi="Times New Roman" w:eastAsia="宋体" w:cs="Times New Roman"/>
      <w:lang w:val="en-US" w:eastAsia="zh-CN" w:bidi="ar-SA"/>
    </w:rPr>
  </w:style>
  <w:style w:type="paragraph" w:styleId="857" w:customStyle="1">
    <w:name w:val="TOC 标题112"/>
    <w:uiPriority w:val="39"/>
    <w:unhideWhenUsed/>
    <w:qFormat/>
    <w:rPr>
      <w:rFonts w:hint="default" w:ascii="Times New Roman" w:hAnsi="Times New Roman" w:eastAsia="宋体" w:cs="Times New Roman"/>
      <w:lang w:val="en-US" w:eastAsia="zh-CN" w:bidi="ar-SA"/>
    </w:rPr>
  </w:style>
  <w:style w:type="paragraph" w:styleId="858" w:customStyle="1">
    <w:name w:val="文本块1"/>
    <w:basedOn w:val="671"/>
    <w:uiPriority w:val="99"/>
    <w:unhideWhenUsed/>
    <w:qFormat/>
    <w:pPr>
      <w:ind w:left="630" w:right="-609" w:firstLine="420"/>
      <w:spacing w:line="360" w:lineRule="auto"/>
    </w:pPr>
    <w:rPr>
      <w:rFonts w:hint="eastAsia" w:ascii="仿宋_GB2312" w:eastAsia="仿宋_GB2312"/>
      <w:szCs w:val="20"/>
    </w:rPr>
  </w:style>
  <w:style w:type="paragraph" w:styleId="859" w:customStyle="1">
    <w:name w:val="题注1"/>
    <w:basedOn w:val="671"/>
    <w:next w:val="671"/>
    <w:uiPriority w:val="35"/>
    <w:unhideWhenUsed/>
    <w:qFormat/>
    <w:pPr>
      <w:spacing w:line="276" w:lineRule="auto"/>
    </w:pPr>
    <w:rPr>
      <w:b/>
      <w:bCs/>
      <w:color w:val="4f81bd"/>
      <w:sz w:val="18"/>
      <w:szCs w:val="18"/>
    </w:rPr>
  </w:style>
  <w:style w:type="paragraph" w:styleId="860" w:customStyle="1">
    <w:name w:val="修订11"/>
    <w:uiPriority w:val="99"/>
    <w:unhideWhenUsed/>
    <w:qFormat/>
    <w:rPr>
      <w:rFonts w:hint="default" w:ascii="Times New Roman" w:hAnsi="Times New Roman" w:eastAsia="宋体" w:cs="Times New Roman"/>
      <w:sz w:val="21"/>
      <w:szCs w:val="22"/>
      <w:lang w:val="en-US" w:eastAsia="zh-CN" w:bidi="ar-SA"/>
    </w:rPr>
  </w:style>
  <w:style w:type="paragraph" w:styleId="861" w:customStyle="1">
    <w:name w:val="修订3"/>
    <w:uiPriority w:val="99"/>
    <w:unhideWhenUsed/>
    <w:qFormat/>
    <w:rPr>
      <w:rFonts w:hint="default" w:ascii="Times New Roman" w:hAnsi="Times New Roman" w:eastAsia="宋体" w:cs="Times New Roman"/>
      <w:sz w:val="21"/>
      <w:szCs w:val="22"/>
      <w:lang w:val="en-US" w:eastAsia="zh-CN" w:bidi="ar-SA"/>
    </w:rPr>
  </w:style>
  <w:style w:type="paragraph" w:styleId="862" w:customStyle="1">
    <w:name w:val="正文首行缩进11"/>
    <w:basedOn w:val="766"/>
    <w:uiPriority w:val="0"/>
    <w:qFormat/>
    <w:pPr>
      <w:ind w:firstLine="420"/>
    </w:pPr>
    <w:rPr>
      <w:sz w:val="26"/>
    </w:rPr>
  </w:style>
  <w:style w:type="paragraph" w:styleId="863"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864" w:customStyle="1">
    <w:name w:val="正文文本缩进11"/>
    <w:basedOn w:val="671"/>
    <w:next w:val="863"/>
    <w:uiPriority w:val="99"/>
    <w:unhideWhenUsed/>
    <w:qFormat/>
    <w:pPr>
      <w:ind w:left="420"/>
      <w:spacing w:after="120"/>
    </w:pPr>
    <w:rPr>
      <w:szCs w:val="24"/>
    </w:rPr>
  </w:style>
  <w:style w:type="table" w:styleId="865" w:customStyle="1">
    <w:name w:val="网格型42"/>
    <w:basedOn w:val="6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6" w:customStyle="1">
    <w:name w:val="Table Normal_0"/>
    <w:uiPriority w:val="0"/>
    <w:unhideWhenUsed/>
    <w:qFormat/>
    <w:tblPr>
      <w:tblCellMar>
        <w:left w:w="0" w:type="dxa"/>
        <w:top w:w="0" w:type="dxa"/>
        <w:right w:w="0" w:type="dxa"/>
        <w:bottom w:w="0" w:type="dxa"/>
      </w:tblCellMar>
    </w:tblPr>
  </w:style>
  <w:style w:type="table" w:styleId="86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8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87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872" w:customStyle="1">
    <w:name w:val="Lined - Accent 6"/>
    <w:uiPriority w:val="99"/>
    <w:qFormat/>
    <w:rPr>
      <w:color w:val="404040"/>
    </w:rPr>
    <w:tblPr>
      <w:tblCellMar>
        <w:left w:w="0" w:type="dxa"/>
        <w:top w:w="0" w:type="dxa"/>
        <w:right w:w="0" w:type="dxa"/>
        <w:bottom w:w="0" w:type="dxa"/>
      </w:tblCellMar>
    </w:tblPr>
  </w:style>
  <w:style w:type="table" w:styleId="873" w:customStyle="1">
    <w:name w:val="Lined - Accent 5"/>
    <w:uiPriority w:val="99"/>
    <w:qFormat/>
    <w:rPr>
      <w:color w:val="404040"/>
    </w:rPr>
    <w:tblPr>
      <w:tblCellMar>
        <w:left w:w="0" w:type="dxa"/>
        <w:top w:w="0" w:type="dxa"/>
        <w:right w:w="0" w:type="dxa"/>
        <w:bottom w:w="0" w:type="dxa"/>
      </w:tblCellMar>
    </w:tblPr>
  </w:style>
  <w:style w:type="table" w:styleId="874" w:customStyle="1">
    <w:name w:val="Lined - Accent 2"/>
    <w:uiPriority w:val="99"/>
    <w:qFormat/>
    <w:rPr>
      <w:color w:val="404040"/>
    </w:rPr>
    <w:tblPr>
      <w:tblCellMar>
        <w:left w:w="0" w:type="dxa"/>
        <w:top w:w="0" w:type="dxa"/>
        <w:right w:w="0" w:type="dxa"/>
        <w:bottom w:w="0" w:type="dxa"/>
      </w:tblCellMar>
    </w:tblPr>
  </w:style>
  <w:style w:type="table" w:styleId="875" w:customStyle="1">
    <w:name w:val="Lined - Accent 1"/>
    <w:uiPriority w:val="99"/>
    <w:qFormat/>
    <w:rPr>
      <w:color w:val="404040"/>
    </w:rPr>
    <w:tblPr>
      <w:tblCellMar>
        <w:left w:w="0" w:type="dxa"/>
        <w:top w:w="0" w:type="dxa"/>
        <w:right w:w="0" w:type="dxa"/>
        <w:bottom w:w="0" w:type="dxa"/>
      </w:tblCellMar>
    </w:tblPr>
  </w:style>
  <w:style w:type="table" w:styleId="876" w:customStyle="1">
    <w:name w:val="Lined - Accent"/>
    <w:uiPriority w:val="99"/>
    <w:qFormat/>
    <w:rPr>
      <w:color w:val="404040"/>
    </w:rPr>
    <w:tblPr>
      <w:tblCellMar>
        <w:left w:w="0" w:type="dxa"/>
        <w:top w:w="0" w:type="dxa"/>
        <w:right w:w="0" w:type="dxa"/>
        <w:bottom w:w="0" w:type="dxa"/>
      </w:tblCellMar>
    </w:tblPr>
  </w:style>
  <w:style w:type="table" w:styleId="8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9"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7"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9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5" w:customStyle="1">
    <w:name w:val="普通表格1"/>
    <w:uiPriority w:val="99"/>
    <w:unhideWhenUsed/>
    <w:qFormat/>
    <w:tblPr>
      <w:tblCellMar>
        <w:left w:w="0" w:type="dxa"/>
        <w:top w:w="0" w:type="dxa"/>
        <w:right w:w="0" w:type="dxa"/>
        <w:bottom w:w="0" w:type="dxa"/>
      </w:tblCellMar>
    </w:tblPr>
  </w:style>
  <w:style w:type="table" w:styleId="8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2" w:customStyle="1">
    <w:name w:val="List Table 1 Light - Accent 5"/>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1"/>
    <w:uiPriority w:val="99"/>
    <w:qFormat/>
    <w:tblPr>
      <w:tblCellMar>
        <w:left w:w="0" w:type="dxa"/>
        <w:top w:w="0" w:type="dxa"/>
        <w:right w:w="0" w:type="dxa"/>
        <w:bottom w:w="0" w:type="dxa"/>
      </w:tblCellMar>
    </w:tblPr>
  </w:style>
  <w:style w:type="table" w:styleId="9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List Table 1 Light - Accent 6"/>
    <w:uiPriority w:val="99"/>
    <w:qFormat/>
    <w:tblPr>
      <w:tblCellMar>
        <w:left w:w="0" w:type="dxa"/>
        <w:top w:w="0" w:type="dxa"/>
        <w:right w:w="0" w:type="dxa"/>
        <w:bottom w:w="0" w:type="dxa"/>
      </w:tblCellMar>
    </w:tblPr>
  </w:style>
  <w:style w:type="table" w:styleId="90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2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2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2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3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3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8" w:customStyle="1">
    <w:name w:val="清单表 7 彩色1"/>
    <w:basedOn w:val="681"/>
    <w:uiPriority w:val="99"/>
    <w:qFormat/>
    <w:tblPr>
      <w:tblBorders>
        <w:right w:val="single" w:color="7E7E7E" w:sz="4" w:space="0"/>
      </w:tblBorders>
      <w:tblCellMar>
        <w:left w:w="0" w:type="dxa"/>
        <w:right w:w="0" w:type="dxa"/>
      </w:tblCellMar>
    </w:tblPr>
    <w:tblStylePr w:type="band1Horz">
      <w:rPr>
        <w:rFonts w:ascii="黑体" w:hAnsi="黑体"/>
        <w:color w:val="808080"/>
        <w:sz w:val="22"/>
      </w:rPr>
      <w:tcPr>
        <w:shd w:val="clear" w:color="bebebe" w:fill="bebebe"/>
      </w:tcPr>
    </w:tblStylePr>
    <w:tblStylePr w:type="band1Vert">
      <w:tcPr>
        <w:shd w:val="clear" w:color="bebebe" w:fill="bebebe"/>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0" w:customStyle="1">
    <w:name w:val="清单表 6 彩色1"/>
    <w:basedOn w:val="681"/>
    <w:uiPriority w:val="99"/>
    <w:qFormat/>
    <w:tblPr>
      <w:tblBorders>
        <w:top w:val="single" w:color="7E7E7E" w:sz="4" w:space="0"/>
        <w:bottom w:val="single" w:color="7E7E7E" w:sz="4" w:space="0"/>
      </w:tblBorders>
      <w:tblCellMar>
        <w:left w:w="0" w:type="dxa"/>
        <w:right w:w="0" w:type="dxa"/>
      </w:tblCellMar>
    </w:tblPr>
    <w:tblStylePr w:type="band1Horz">
      <w:rPr>
        <w:rFonts w:ascii="黑体" w:hAnsi="黑体"/>
        <w:color w:val="000000"/>
        <w:sz w:val="22"/>
      </w:rPr>
      <w:tcPr>
        <w:shd w:val="clear" w:color="bebebe" w:fill="bebebe"/>
      </w:tcPr>
    </w:tblStylePr>
    <w:tblStylePr w:type="band1Vert">
      <w:tcPr>
        <w:shd w:val="clear" w:color="bebebe" w:fill="bebebe"/>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清单表 5 深色1"/>
    <w:basedOn w:val="681"/>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黑体" w:hAnsi="黑体"/>
        <w:b/>
        <w:color w:val="ffffff"/>
        <w:sz w:val="22"/>
      </w:rPr>
    </w:tblStylePr>
  </w:style>
  <w:style w:type="table" w:styleId="942" w:customStyle="1">
    <w:name w:val="清单表 41"/>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943" w:customStyle="1">
    <w:name w:val="清单表 31"/>
    <w:basedOn w:val="68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944" w:customStyle="1">
    <w:name w:val="网格表 7 彩色1"/>
    <w:basedOn w:val="681"/>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f1f1f1" w:fill="f1f1f1"/>
      </w:tcPr>
    </w:tblStylePr>
    <w:tblStylePr w:type="band1Vert">
      <w:tcPr>
        <w:shd w:val="clear" w:color="f1f1f1" w:fill="f1f1f1"/>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网格表 5 深色1"/>
    <w:basedOn w:val="68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黑体" w:hAnsi="黑体"/>
        <w:b/>
        <w:color w:val="ffffff"/>
        <w:sz w:val="22"/>
      </w:rPr>
      <w:tcPr>
        <w:shd w:val="clear" w:color="000000" w:fill="000000"/>
      </w:tcPr>
    </w:tblStylePr>
    <w:tblStylePr w:type="firstRow">
      <w:rPr>
        <w:rFonts w:ascii="黑体" w:hAnsi="黑体"/>
        <w:b/>
        <w:color w:val="ffffff"/>
        <w:sz w:val="22"/>
      </w:rPr>
      <w:tcPr>
        <w:shd w:val="clear" w:color="000000" w:fill="000000"/>
      </w:tcPr>
    </w:tblStylePr>
    <w:tblStylePr w:type="lastCol">
      <w:rPr>
        <w:rFonts w:ascii="黑体" w:hAnsi="黑体"/>
        <w:b/>
        <w:color w:val="ffffff"/>
        <w:sz w:val="22"/>
      </w:rPr>
      <w:tcPr>
        <w:shd w:val="clear" w:color="000000" w:fill="000000"/>
      </w:tcPr>
    </w:tblStylePr>
    <w:tblStylePr w:type="lastRow">
      <w:rPr>
        <w:rFonts w:ascii="黑体" w:hAnsi="黑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网格表 31"/>
    <w:basedOn w:val="68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8" w:customStyle="1">
    <w:name w:val="网格表 21"/>
    <w:basedOn w:val="681"/>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网格表 1 浅色1"/>
    <w:basedOn w:val="68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黑体" w:hAnsi="黑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无格式表格 4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3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2" w:customStyle="1">
    <w:name w:val="无格式表格 21"/>
    <w:basedOn w:val="68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953" w:customStyle="1">
    <w:name w:val="无格式表格 11"/>
    <w:basedOn w:val="68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954" w:customStyle="1">
    <w:name w:val="_Style 255"/>
    <w:basedOn w:val="681"/>
    <w:uiPriority w:val="99"/>
    <w:qFormat/>
    <w:tblPr>
      <w:tblBorders>
        <w:top w:val="single" w:color="000000" w:sz="4" w:space="0"/>
        <w:bottom w:val="single" w:color="000000" w:sz="4" w:space="0"/>
      </w:tblBorders>
    </w:tblPr>
    <w:tblStylePr w:type="band1Horz">
      <w:rPr>
        <w:rFonts w:ascii="黑体" w:hAnsi="黑体"/>
        <w:color w:val="000000"/>
        <w:sz w:val="22"/>
      </w:rPr>
      <w:tcPr>
        <w:shd w:val="clear" w:color="ffffff" w:fill="bfbfbf"/>
      </w:tcPr>
    </w:tblStylePr>
    <w:tblStylePr w:type="band1Vert">
      <w:tcPr>
        <w:shd w:val="clear" w:color="ffffff" w:fill="bfbfbf"/>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_Style 256"/>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5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57" w:customStyle="1">
    <w:name w:val="_Style 258"/>
    <w:basedOn w:val="68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58" w:customStyle="1">
    <w:name w:val="_Style 259"/>
    <w:basedOn w:val="681"/>
    <w:uiPriority w:val="99"/>
    <w:qFormat/>
    <w:tblPr>
      <w:tblBorders>
        <w:top w:val="single" w:color="000000" w:sz="4" w:space="0"/>
        <w:bottom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_Style 260"/>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rFonts w:ascii="黑体" w:hAnsi="黑体"/>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style>
  <w:style w:type="table" w:styleId="961" w:customStyle="1">
    <w:name w:val="无格式表格 51"/>
    <w:basedOn w:val="681"/>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_Style 263"/>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_Style 264"/>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_Style 265"/>
    <w:basedOn w:val="68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965" w:customStyle="1">
    <w:name w:val="_Style 266"/>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96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7" w:customStyle="1">
    <w:name w:val="网格表 41"/>
    <w:basedOn w:val="68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rFonts w:ascii="黑体" w:hAnsi="黑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9" w:customStyle="1">
    <w:name w:val="_Style 270"/>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tcPr>
        <w:shd w:val="clear" w:color="ffffff" w:fill="cbcbcb"/>
      </w:tcPr>
    </w:tblStylePr>
    <w:tblStylePr w:type="band2Horz">
      <w:rPr>
        <w:rFonts w:ascii="黑体" w:hAnsi="黑体"/>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1" w:customStyle="1">
    <w:name w:val="Lined - Accent 3"/>
    <w:uiPriority w:val="99"/>
    <w:qFormat/>
    <w:rPr>
      <w:color w:val="404040"/>
    </w:rPr>
    <w:tblPr>
      <w:tblCellMar>
        <w:left w:w="0" w:type="dxa"/>
        <w:top w:w="0" w:type="dxa"/>
        <w:right w:w="0" w:type="dxa"/>
        <w:bottom w:w="0" w:type="dxa"/>
      </w:tblCellMar>
    </w:tblPr>
  </w:style>
  <w:style w:type="table" w:styleId="9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4" w:customStyle="1">
    <w:name w:val="_Style 275"/>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黑体" w:hAnsi="黑体"/>
        <w:b/>
        <w:color w:val="ffffff"/>
        <w:sz w:val="22"/>
      </w:rPr>
      <w:tcPr>
        <w:shd w:val="clear" w:color="ffffff" w:fill="000000"/>
      </w:tcPr>
    </w:tblStylePr>
    <w:tblStylePr w:type="firstRow">
      <w:rPr>
        <w:rFonts w:ascii="黑体" w:hAnsi="黑体"/>
        <w:b/>
        <w:color w:val="ffffff"/>
        <w:sz w:val="22"/>
      </w:rPr>
      <w:tcPr>
        <w:shd w:val="clear" w:color="ffffff" w:fill="000000"/>
      </w:tcPr>
    </w:tblStylePr>
    <w:tblStylePr w:type="lastCol">
      <w:rPr>
        <w:rFonts w:ascii="黑体" w:hAnsi="黑体"/>
        <w:b/>
        <w:color w:val="ffffff"/>
        <w:sz w:val="22"/>
      </w:rPr>
      <w:tcPr>
        <w:shd w:val="clear" w:color="ffffff" w:fill="000000"/>
      </w:tcPr>
    </w:tblStylePr>
    <w:tblStylePr w:type="lastRow">
      <w:rPr>
        <w:rFonts w:ascii="黑体" w:hAnsi="黑体"/>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76" w:customStyle="1">
    <w:name w:val="_Style 277"/>
    <w:basedOn w:val="68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黑体" w:hAnsi="黑体"/>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黑体" w:hAnsi="黑体"/>
        <w:b/>
        <w:color w:val="ffffff"/>
        <w:sz w:val="22"/>
      </w:rPr>
    </w:tblStylePr>
  </w:style>
  <w:style w:type="table" w:styleId="977" w:customStyle="1">
    <w:name w:val="_Style 278"/>
    <w:basedOn w:val="681"/>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7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85" w:customStyle="1">
    <w:name w:val="_Style 286"/>
    <w:basedOn w:val="681"/>
    <w:uiPriority w:val="99"/>
    <w:qFormat/>
    <w:tblPr>
      <w:tblBorders>
        <w:right w:val="single" w:color="000000" w:sz="4" w:space="0"/>
      </w:tblBorders>
    </w:tblPr>
    <w:tblStylePr w:type="band1Horz">
      <w:rPr>
        <w:rFonts w:ascii="黑体" w:hAnsi="黑体"/>
        <w:color w:val="4a4a4a"/>
        <w:sz w:val="22"/>
      </w:rPr>
      <w:tcPr>
        <w:shd w:val="clear" w:color="ffffff" w:fill="bfbfbf"/>
      </w:tcPr>
    </w:tblStylePr>
    <w:tblStylePr w:type="band1Vert">
      <w:tcPr>
        <w:shd w:val="clear" w:color="ffffff" w:fill="bfbfbf"/>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8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9" w:customStyle="1">
    <w:name w:val="_Style 290"/>
    <w:basedOn w:val="68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黑体" w:hAnsi="黑体"/>
        <w:color w:val="4a4a4a"/>
        <w:sz w:val="22"/>
      </w:rPr>
      <w:tcPr>
        <w:shd w:val="clear" w:color="ffffff" w:fill="f2f2f2"/>
      </w:tcPr>
    </w:tblStylePr>
    <w:tblStylePr w:type="band1Vert">
      <w:tcPr>
        <w:shd w:val="clear" w:color="ffffff" w:fill="f2f2f2"/>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9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92" w:customStyle="1">
    <w:name w:val="清单表 21"/>
    <w:basedOn w:val="681"/>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rFonts w:ascii="黑体" w:hAnsi="黑体"/>
        <w:b/>
        <w:color w:val="404040"/>
        <w:sz w:val="22"/>
      </w:rPr>
    </w:tblStylePr>
    <w:tblStylePr w:type="fir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993" w:customStyle="1">
    <w:name w:val="_Style 294"/>
    <w:basedOn w:val="681"/>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_Style 295"/>
    <w:basedOn w:val="68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5" w:customStyle="1">
    <w:name w:val="网格表 6 彩色1"/>
    <w:basedOn w:val="68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cacaca" w:fill="cacaca"/>
      </w:tcPr>
    </w:tblStylePr>
    <w:tblStylePr w:type="band1Vert">
      <w:tcPr>
        <w:shd w:val="clear" w:color="cacaca" w:fill="cacaca"/>
      </w:tcPr>
    </w:tblStylePr>
    <w:tblStylePr w:type="band2Horz">
      <w:rPr>
        <w:rFonts w:ascii="黑体" w:hAnsi="黑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96" w:customStyle="1">
    <w:name w:val="Lined - Accent 4"/>
    <w:uiPriority w:val="99"/>
    <w:qFormat/>
    <w:rPr>
      <w:color w:val="404040"/>
    </w:rPr>
    <w:tblPr>
      <w:tblCellMar>
        <w:left w:w="0" w:type="dxa"/>
        <w:top w:w="0" w:type="dxa"/>
        <w:right w:w="0" w:type="dxa"/>
        <w:bottom w:w="0" w:type="dxa"/>
      </w:tblCellMar>
    </w:tblPr>
  </w:style>
  <w:style w:type="table" w:styleId="9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_Style 301"/>
    <w:basedOn w:val="681"/>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0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02" w:customStyle="1">
    <w:name w:val="_Style 303"/>
    <w:basedOn w:val="681"/>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4" w:customStyle="1">
    <w:name w:val="清单表 1 浅色1"/>
    <w:basedOn w:val="681"/>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100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00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character" w:styleId="1012" w:customStyle="1">
    <w:name w:val="15"/>
    <w:uiPriority w:val="0"/>
    <w:qFormat/>
    <w:rPr>
      <w:rFonts w:hint="default" w:ascii="Times New Roman" w:hAnsi="Times New Roman" w:cs="Times New Roman"/>
    </w:rPr>
  </w:style>
  <w:style w:type="paragraph" w:styleId="1013" w:customStyle="1">
    <w:name w:val="_Style 314"/>
    <w:uiPriority w:val="99"/>
    <w:unhideWhenUsed/>
    <w:qFormat/>
    <w:rPr>
      <w:rFonts w:hint="default" w:ascii="Times New Roman" w:hAnsi="Times New Roman" w:eastAsia="宋体" w:cs="Times New Roman"/>
      <w:sz w:val="21"/>
      <w:szCs w:val="22"/>
      <w:lang w:val="en-US" w:eastAsia="zh-CN" w:bidi="ar-SA"/>
    </w:rPr>
  </w:style>
  <w:style w:type="paragraph" w:styleId="1014" w:customStyle="1">
    <w:name w:val="Revision"/>
    <w:hidden/>
    <w:uiPriority w:val="99"/>
    <w:unhideWhenUsed/>
    <w:qFormat/>
    <w:rPr>
      <w:rFonts w:hint="default" w:ascii="Times New Roman" w:hAnsi="Times New Roman" w:eastAsia="宋体" w:cs="Times New Roman"/>
      <w:sz w:val="21"/>
      <w:szCs w:val="22"/>
      <w:lang w:val="en-US" w:eastAsia="zh-CN" w:bidi="ar-SA"/>
    </w:rPr>
  </w:style>
  <w:style w:type="numbering" w:styleId="117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邵赞瑜</cp:lastModifiedBy>
  <cp:revision>12</cp:revision>
  <dcterms:created xsi:type="dcterms:W3CDTF">2025-11-03T02:10:00Z</dcterms:created>
  <dcterms:modified xsi:type="dcterms:W3CDTF">2025-12-26T08:33:34Z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64954D10433B477AB90B9E0AF54F006B_13</vt:lpwstr>
  </property>
  <property fmtid="{D5CDD505-2E9C-101B-9397-08002B2CF9AE}" pid="3" name="KSOProductBuildVer">
    <vt:lpwstr>2052-12.1.0.24034</vt:lpwstr>
  </property>
  <property fmtid="{D5CDD505-2E9C-101B-9397-08002B2CF9AE}" pid="4" name="KSOTemplateDocerSaveRecord">
    <vt:lpwstr>eyJoZGlkIjoiZmZmNjBkMDI5OTBhZTBiMjZhYzVlMDdjMjc0MzY4YzEiLCJ1c2VySWQiOiI1NjU3MTYwNTkifQ==</vt:lpwstr>
  </property>
</Properties>
</file>